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黑体" w:cs="Times New Roman"/>
          <w:b/>
          <w:bCs/>
          <w:color w:val="auto"/>
          <w:sz w:val="28"/>
          <w:szCs w:val="32"/>
          <w:highlight w:val="none"/>
          <w:lang w:eastAsia="zh-CN"/>
        </w:rPr>
      </w:pPr>
      <w:r>
        <w:rPr>
          <w:rFonts w:hint="default" w:ascii="Times New Roman" w:hAnsi="Times New Roman" w:eastAsia="黑体" w:cs="Times New Roman"/>
          <w:b/>
          <w:bCs/>
          <w:color w:val="auto"/>
          <w:sz w:val="28"/>
          <w:szCs w:val="32"/>
          <w:highlight w:val="none"/>
        </w:rPr>
        <w:t>新建渝昆高铁工程昆明空港段中铁十八局附属配套设施第二批临时用地土地复垦方案</w:t>
      </w:r>
      <w:r>
        <w:rPr>
          <w:rFonts w:hint="eastAsia" w:eastAsia="黑体" w:cs="Times New Roman"/>
          <w:b/>
          <w:bCs/>
          <w:color w:val="auto"/>
          <w:sz w:val="28"/>
          <w:szCs w:val="32"/>
          <w:highlight w:val="none"/>
          <w:lang w:eastAsia="zh-CN"/>
        </w:rPr>
        <w:t>专家组评审意见</w:t>
      </w:r>
    </w:p>
    <w:tbl>
      <w:tblPr>
        <w:tblStyle w:val="5"/>
        <w:tblW w:w="91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8"/>
        <w:gridCol w:w="1242"/>
        <w:gridCol w:w="2552"/>
        <w:gridCol w:w="4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4"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建设项目名称</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60" w:firstLineChars="20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新建渝昆高铁工程昆明空港段中铁十八局附属配套设施第二批临时用地土地复垦方案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4"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建设单位名称</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firstLine="560" w:firstLineChars="20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中铁十八局集团有限公司渝昆高铁引入昆明枢纽工程项目经理部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2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编制单位名称</w:t>
            </w:r>
          </w:p>
        </w:tc>
        <w:tc>
          <w:tcPr>
            <w:tcW w:w="6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60" w:firstLineChars="20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云南坤舆测绘科技有限公司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2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项目用地面积</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永久性建设用地</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0公顷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8"/>
                <w:szCs w:val="28"/>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占用面积</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0</w:t>
            </w:r>
            <w:r>
              <w:rPr>
                <w:rFonts w:hint="eastAsia" w:ascii="Times New Roman" w:hAnsi="Times New Roman" w:eastAsia="宋体" w:cs="Times New Roman"/>
                <w:kern w:val="2"/>
                <w:sz w:val="28"/>
                <w:szCs w:val="28"/>
                <w:lang w:val="en-US" w:eastAsia="zh-CN" w:bidi="ar-SA"/>
              </w:rPr>
              <w:t>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2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kern w:val="2"/>
                <w:sz w:val="28"/>
                <w:szCs w:val="28"/>
                <w:lang w:val="en-US" w:eastAsia="zh-CN" w:bidi="ar-SA"/>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损毁土地面积</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 xml:space="preserve">6.3880 </w:t>
            </w:r>
            <w:r>
              <w:rPr>
                <w:rFonts w:hint="eastAsia" w:ascii="Times New Roman" w:hAnsi="Times New Roman" w:eastAsia="宋体" w:cs="Times New Roman"/>
                <w:kern w:val="2"/>
                <w:sz w:val="28"/>
                <w:szCs w:val="28"/>
                <w:lang w:val="en-US" w:eastAsia="zh-CN" w:bidi="ar-SA"/>
              </w:rPr>
              <w:t>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5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60" w:firstLineChars="200"/>
              <w:jc w:val="center"/>
              <w:textAlignment w:val="top"/>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生产能力（或投资规模）</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25000万元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7" w:hRule="atLeast"/>
          <w:jc w:val="center"/>
        </w:trPr>
        <w:tc>
          <w:tcPr>
            <w:tcW w:w="5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60" w:firstLineChars="200"/>
              <w:jc w:val="center"/>
              <w:textAlignment w:val="top"/>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生产年限（或建设期限）</w:t>
            </w:r>
          </w:p>
        </w:tc>
        <w:tc>
          <w:tcPr>
            <w:tcW w:w="4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2022年6月-2026年6月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6" w:hRule="atLeast"/>
          <w:jc w:val="center"/>
        </w:trPr>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lang w:val="en-US" w:eastAsia="zh-CN" w:bidi="ar"/>
              </w:rPr>
            </w:pPr>
            <w:r>
              <w:rPr>
                <w:rFonts w:hint="eastAsia" w:ascii="楷体" w:hAnsi="楷体" w:eastAsia="楷体" w:cs="楷体"/>
                <w:b/>
                <w:bCs/>
                <w:i w:val="0"/>
                <w:iCs w:val="0"/>
                <w:color w:val="000000"/>
                <w:kern w:val="0"/>
                <w:sz w:val="28"/>
                <w:szCs w:val="28"/>
                <w:u w:val="none"/>
                <w:lang w:val="en-US" w:eastAsia="zh-CN" w:bidi="ar"/>
              </w:rPr>
              <w:t>专</w:t>
            </w:r>
            <w:r>
              <w:rPr>
                <w:rFonts w:hint="eastAsia" w:ascii="楷体" w:hAnsi="楷体" w:eastAsia="楷体" w:cs="楷体"/>
                <w:b/>
                <w:bCs/>
                <w:i w:val="0"/>
                <w:iCs w:val="0"/>
                <w:color w:val="000000"/>
                <w:kern w:val="0"/>
                <w:sz w:val="28"/>
                <w:szCs w:val="28"/>
                <w:u w:val="none"/>
                <w:lang w:val="en-US" w:eastAsia="zh-CN" w:bidi="ar"/>
              </w:rPr>
              <w:br w:type="textWrapping"/>
            </w:r>
          </w:p>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lang w:val="en-US" w:eastAsia="zh-CN" w:bidi="ar"/>
              </w:rPr>
            </w:pPr>
            <w:r>
              <w:rPr>
                <w:rFonts w:hint="eastAsia" w:ascii="楷体" w:hAnsi="楷体" w:eastAsia="楷体" w:cs="楷体"/>
                <w:b/>
                <w:bCs/>
                <w:i w:val="0"/>
                <w:iCs w:val="0"/>
                <w:color w:val="000000"/>
                <w:kern w:val="0"/>
                <w:sz w:val="28"/>
                <w:szCs w:val="28"/>
                <w:u w:val="none"/>
                <w:lang w:val="en-US" w:eastAsia="zh-CN" w:bidi="ar"/>
              </w:rPr>
              <w:t>家</w:t>
            </w:r>
          </w:p>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lang w:val="en-US" w:eastAsia="zh-CN" w:bidi="ar"/>
              </w:rPr>
            </w:pPr>
            <w:r>
              <w:rPr>
                <w:rFonts w:hint="eastAsia" w:ascii="楷体" w:hAnsi="楷体" w:eastAsia="楷体" w:cs="楷体"/>
                <w:b/>
                <w:bCs/>
                <w:i w:val="0"/>
                <w:iCs w:val="0"/>
                <w:color w:val="000000"/>
                <w:kern w:val="0"/>
                <w:sz w:val="28"/>
                <w:szCs w:val="28"/>
                <w:u w:val="none"/>
                <w:lang w:val="en-US" w:eastAsia="zh-CN" w:bidi="ar"/>
              </w:rPr>
              <w:br w:type="textWrapping"/>
            </w:r>
            <w:r>
              <w:rPr>
                <w:rFonts w:hint="eastAsia" w:ascii="楷体" w:hAnsi="楷体" w:eastAsia="楷体" w:cs="楷体"/>
                <w:b/>
                <w:bCs/>
                <w:i w:val="0"/>
                <w:iCs w:val="0"/>
                <w:color w:val="000000"/>
                <w:kern w:val="0"/>
                <w:sz w:val="28"/>
                <w:szCs w:val="28"/>
                <w:u w:val="none"/>
                <w:lang w:val="en-US" w:eastAsia="zh-CN" w:bidi="ar"/>
              </w:rPr>
              <w:t>评</w:t>
            </w:r>
          </w:p>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lang w:val="en-US" w:eastAsia="zh-CN" w:bidi="ar"/>
              </w:rPr>
            </w:pPr>
            <w:r>
              <w:rPr>
                <w:rFonts w:hint="eastAsia" w:ascii="楷体" w:hAnsi="楷体" w:eastAsia="楷体" w:cs="楷体"/>
                <w:b/>
                <w:bCs/>
                <w:i w:val="0"/>
                <w:iCs w:val="0"/>
                <w:color w:val="000000"/>
                <w:kern w:val="0"/>
                <w:sz w:val="28"/>
                <w:szCs w:val="28"/>
                <w:u w:val="none"/>
                <w:lang w:val="en-US" w:eastAsia="zh-CN" w:bidi="ar"/>
              </w:rPr>
              <w:br w:type="textWrapping"/>
            </w:r>
            <w:r>
              <w:rPr>
                <w:rFonts w:hint="eastAsia" w:ascii="楷体" w:hAnsi="楷体" w:eastAsia="楷体" w:cs="楷体"/>
                <w:b/>
                <w:bCs/>
                <w:i w:val="0"/>
                <w:iCs w:val="0"/>
                <w:color w:val="000000"/>
                <w:kern w:val="0"/>
                <w:sz w:val="28"/>
                <w:szCs w:val="28"/>
                <w:u w:val="none"/>
                <w:lang w:val="en-US" w:eastAsia="zh-CN" w:bidi="ar"/>
              </w:rPr>
              <w:t>审</w:t>
            </w:r>
          </w:p>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lang w:val="en-US" w:eastAsia="zh-CN" w:bidi="ar"/>
              </w:rPr>
            </w:pPr>
            <w:r>
              <w:rPr>
                <w:rFonts w:hint="eastAsia" w:ascii="楷体" w:hAnsi="楷体" w:eastAsia="楷体" w:cs="楷体"/>
                <w:b/>
                <w:bCs/>
                <w:i w:val="0"/>
                <w:iCs w:val="0"/>
                <w:color w:val="000000"/>
                <w:kern w:val="0"/>
                <w:sz w:val="28"/>
                <w:szCs w:val="28"/>
                <w:u w:val="none"/>
                <w:lang w:val="en-US" w:eastAsia="zh-CN" w:bidi="ar"/>
              </w:rPr>
              <w:br w:type="textWrapping"/>
            </w:r>
            <w:r>
              <w:rPr>
                <w:rFonts w:hint="eastAsia" w:ascii="楷体" w:hAnsi="楷体" w:eastAsia="楷体" w:cs="楷体"/>
                <w:b/>
                <w:bCs/>
                <w:i w:val="0"/>
                <w:iCs w:val="0"/>
                <w:color w:val="000000"/>
                <w:kern w:val="0"/>
                <w:sz w:val="28"/>
                <w:szCs w:val="28"/>
                <w:u w:val="none"/>
                <w:lang w:val="en-US" w:eastAsia="zh-CN" w:bidi="ar"/>
              </w:rPr>
              <w:t>结</w:t>
            </w:r>
          </w:p>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b/>
                <w:bCs/>
                <w:i w:val="0"/>
                <w:iCs w:val="0"/>
                <w:color w:val="000000"/>
                <w:kern w:val="0"/>
                <w:sz w:val="28"/>
                <w:szCs w:val="28"/>
                <w:u w:val="none"/>
                <w:lang w:val="en-US" w:eastAsia="zh-CN" w:bidi="ar"/>
              </w:rPr>
              <w:br w:type="textWrapping"/>
            </w:r>
            <w:r>
              <w:rPr>
                <w:rFonts w:hint="eastAsia" w:ascii="楷体" w:hAnsi="楷体" w:eastAsia="楷体" w:cs="楷体"/>
                <w:b/>
                <w:bCs/>
                <w:i w:val="0"/>
                <w:iCs w:val="0"/>
                <w:color w:val="000000"/>
                <w:kern w:val="0"/>
                <w:sz w:val="28"/>
                <w:szCs w:val="28"/>
                <w:u w:val="none"/>
                <w:lang w:val="en-US" w:eastAsia="zh-CN" w:bidi="ar"/>
              </w:rPr>
              <w:t>论</w:t>
            </w:r>
          </w:p>
        </w:tc>
        <w:tc>
          <w:tcPr>
            <w:tcW w:w="788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ind w:firstLine="560" w:firstLineChars="200"/>
              <w:jc w:val="left"/>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 xml:space="preserve">根据国土资源部国土资发[2007]81号文“关于组织土地复垦方案编制和审查有关问题的通知”、国务院592号令《土地复垦条例》、《土地复垦条例实施办法》、《土地复垦质量控制标准》及土地开发整理工程建设标准和土地复垦相关规程。2023年9月22日，云南滇中新区自然资源和规划局组织有关专家对云南坤舆测绘科技有限公司编制的“新建渝昆高铁工程昆明空港段中铁十八局附属配套设施第二批临时用地土地复垦方案”进行了评审，形成如下评审意见：                                 </w:t>
            </w:r>
            <w:r>
              <w:rPr>
                <w:rFonts w:hint="eastAsia" w:ascii="Times New Roman" w:hAnsi="Times New Roman" w:eastAsia="宋体" w:cs="Times New Roman"/>
                <w:sz w:val="28"/>
                <w:szCs w:val="28"/>
                <w:lang w:val="en-US" w:eastAsia="zh-CN"/>
              </w:rPr>
              <w:br w:type="textWrapping"/>
            </w:r>
            <w:r>
              <w:rPr>
                <w:rFonts w:hint="eastAsia" w:ascii="Times New Roman" w:hAnsi="Times New Roman" w:eastAsia="宋体" w:cs="Times New Roman"/>
                <w:sz w:val="28"/>
                <w:szCs w:val="28"/>
                <w:lang w:val="en-US" w:eastAsia="zh-CN"/>
              </w:rPr>
              <w:t>一、本土地复垦方案报告书编制符合土地复垦相关规程要求；提出的土地复垦措施基本可行；复垦费用估算基本合理。</w:t>
            </w:r>
            <w:r>
              <w:rPr>
                <w:rFonts w:hint="eastAsia" w:ascii="Times New Roman" w:hAnsi="Times New Roman" w:eastAsia="宋体" w:cs="Times New Roman"/>
                <w:sz w:val="28"/>
                <w:szCs w:val="28"/>
                <w:lang w:val="en-US" w:eastAsia="zh-CN"/>
              </w:rPr>
              <w:br w:type="textWrapping"/>
            </w:r>
            <w:r>
              <w:rPr>
                <w:rFonts w:hint="eastAsia" w:ascii="Times New Roman" w:hAnsi="Times New Roman" w:eastAsia="宋体" w:cs="Times New Roman"/>
                <w:sz w:val="28"/>
                <w:szCs w:val="28"/>
                <w:lang w:val="en-US" w:eastAsia="zh-CN"/>
              </w:rPr>
              <w:t>二、新建渝昆高铁工程昆明空港段中铁十八局附属配套设施第二批临时用地位于昆明市官渡区长水街道，项目区主地总面积6.3880公顷,复垦区面积为6.3880公顷,复垦区内耕地占4.6036公顷，林地面积占1.2635公顷，其他草地0.0440公顷，交通运输用地面积 0.0361公顷，其他上地面积为0.4408公顷。本项目土地复垦方案服务年限为6.5年从2023年6月-2029年12月。</w:t>
            </w:r>
            <w:r>
              <w:rPr>
                <w:rFonts w:hint="eastAsia" w:ascii="Times New Roman" w:hAnsi="Times New Roman" w:eastAsia="宋体" w:cs="Times New Roman"/>
                <w:sz w:val="28"/>
                <w:szCs w:val="28"/>
                <w:lang w:val="en-US" w:eastAsia="zh-CN"/>
              </w:rPr>
              <w:br w:type="textWrapping"/>
            </w:r>
            <w:r>
              <w:rPr>
                <w:rFonts w:hint="eastAsia" w:ascii="Times New Roman" w:hAnsi="Times New Roman" w:eastAsia="宋体" w:cs="Times New Roman"/>
                <w:sz w:val="28"/>
                <w:szCs w:val="28"/>
                <w:lang w:val="en-US" w:eastAsia="zh-CN"/>
              </w:rPr>
              <w:t>三、实施过程中必须严格按照《土地复垦条例》、《土地管理法》等相关国家法律法规规定进行表土剥离和集中堆放，同时需严格按照国家临时用地管理的相关规定，在批准范围内使用临时用地，并加强对耕地、林地的保护，不经批准，不得随意占用、损毁耕地和林地等作为临时用地。</w:t>
            </w:r>
            <w:r>
              <w:rPr>
                <w:rFonts w:hint="eastAsia" w:ascii="Times New Roman" w:hAnsi="Times New Roman" w:eastAsia="宋体" w:cs="Times New Roman"/>
                <w:sz w:val="28"/>
                <w:szCs w:val="28"/>
                <w:lang w:val="en-US" w:eastAsia="zh-CN"/>
              </w:rPr>
              <w:br w:type="textWrapping"/>
            </w:r>
            <w:r>
              <w:rPr>
                <w:rFonts w:hint="eastAsia" w:ascii="Times New Roman" w:hAnsi="Times New Roman" w:eastAsia="宋体" w:cs="Times New Roman"/>
                <w:sz w:val="28"/>
                <w:szCs w:val="28"/>
                <w:lang w:val="en-US" w:eastAsia="zh-CN"/>
              </w:rPr>
              <w:t>四、原则同意本方案制定的复垦目标和任务，本项目共复星士地面积6.3519公顷，其中早地 4.7941 公项，乔木林地1.3055公项，田坎0.2523公顷，复率为99.43%。</w:t>
            </w:r>
            <w:r>
              <w:rPr>
                <w:rFonts w:hint="eastAsia" w:ascii="Times New Roman" w:hAnsi="Times New Roman" w:eastAsia="宋体" w:cs="Times New Roman"/>
                <w:sz w:val="28"/>
                <w:szCs w:val="28"/>
                <w:lang w:val="en-US" w:eastAsia="zh-CN"/>
              </w:rPr>
              <w:br w:type="textWrapping"/>
            </w:r>
            <w:r>
              <w:rPr>
                <w:rFonts w:hint="eastAsia" w:ascii="Times New Roman" w:hAnsi="Times New Roman" w:eastAsia="宋体" w:cs="Times New Roman"/>
                <w:sz w:val="28"/>
                <w:szCs w:val="28"/>
                <w:lang w:val="en-US" w:eastAsia="zh-CN"/>
              </w:rPr>
              <w:t>五、项目建设单位必须根据实际损毁土地情况、采取必要的复垦工程措施，严格履行复垦承诺，确保土地复垦工作落实到位，使复垦后的地类质量等级高于或等于损毁前的地类等级。</w:t>
            </w:r>
            <w:r>
              <w:rPr>
                <w:rFonts w:hint="eastAsia" w:ascii="Times New Roman" w:hAnsi="Times New Roman" w:eastAsia="宋体" w:cs="Times New Roman"/>
                <w:sz w:val="28"/>
                <w:szCs w:val="28"/>
                <w:lang w:val="en-US" w:eastAsia="zh-CN"/>
              </w:rPr>
              <w:br w:type="textWrapping"/>
            </w:r>
            <w:r>
              <w:rPr>
                <w:rFonts w:hint="eastAsia" w:ascii="Times New Roman" w:hAnsi="Times New Roman" w:eastAsia="宋体" w:cs="Times New Roman"/>
                <w:sz w:val="28"/>
                <w:szCs w:val="28"/>
                <w:lang w:val="en-US" w:eastAsia="zh-CN"/>
              </w:rPr>
              <w:t>综上所述，该复垦方案的编制基本符合有关文件及土地复垦的技术规范、标准的要求，相关分析及损毁土地预测，复垦工程措施基本合理、可行。专家组原则同意通过评审，编制单位已按照专家提出的修改意见进行了修改完善，并按照规定存储了土地复垦费，可按照规定程序上报备案。但在临时用地使用过程中需进一步加强和完善相关措施，采取有效的预防措施防止水土流失及新的土地损毁。同时，各种建设活动应严格控制在征地及批准的临时用地范围</w:t>
            </w:r>
            <w:bookmarkStart w:id="0" w:name="_GoBack"/>
            <w:bookmarkEnd w:id="0"/>
            <w:r>
              <w:rPr>
                <w:rFonts w:hint="eastAsia" w:ascii="Times New Roman" w:hAnsi="Times New Roman" w:eastAsia="宋体" w:cs="Times New Roman"/>
                <w:sz w:val="28"/>
                <w:szCs w:val="28"/>
                <w:lang w:val="en-US" w:eastAsia="zh-CN"/>
              </w:rPr>
              <w:t>内，并做好土壤和植被的保护措施，生产过程中的固体废弃物要及时处理；必须严格按照土地管理法及土地复垦条例的相关要求对临时用地区进行表土及耕作层剥离和集中堆放；应加强对生产生活产生的污水等方面的管理，防止粉尘、油污和水土流失对周边村庄及农田的污染和土地损毁。业主单位应明确复垦责任人，确保措施落实，使复垦后的各种地类标准不得低于原有地类的等级，并满足国家《土地复垦质量控制标准》的相关要求，保障项目区周边群众的合法利益不受侵害，达到土地复垦方案制定的任务目标要求。在实施过程中应接受各级自然资源管理部门的监督和检查。复垦区所在地自然资源部门应加强对复垦工作的监督管理，确保复垦措施和复垦责任的落实。项目临时用地时间、性质、规模、地点、范围或用途等发生变化，需按相关规定和要求重新组织编报土地复垦方案或对原土地复垦方案进行修订，报原审查单位审查并备案。此意见仅为复垦方案编制审查意见，不能代替临时用地的审批，业主到位需及时办理临时用地的手续。</w:t>
            </w:r>
          </w:p>
          <w:p>
            <w:pPr>
              <w:bidi w:val="0"/>
              <w:rPr>
                <w:rStyle w:val="7"/>
                <w:rFonts w:hint="eastAsia"/>
                <w:i w:val="0"/>
                <w:iCs w:val="0"/>
                <w:color w:val="000000"/>
                <w:lang w:val="en-US" w:eastAsia="zh-CN" w:bidi="ar"/>
              </w:rPr>
            </w:pPr>
          </w:p>
          <w:p>
            <w:pPr>
              <w:keepNext w:val="0"/>
              <w:keepLines w:val="0"/>
              <w:widowControl/>
              <w:suppressLineNumbers w:val="0"/>
              <w:spacing w:line="240" w:lineRule="auto"/>
              <w:ind w:firstLine="560" w:firstLineChars="200"/>
              <w:jc w:val="left"/>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专家组长：章正军</w:t>
            </w:r>
          </w:p>
          <w:p>
            <w:pPr>
              <w:keepNext w:val="0"/>
              <w:keepLines w:val="0"/>
              <w:widowControl/>
              <w:suppressLineNumbers w:val="0"/>
              <w:spacing w:line="240" w:lineRule="auto"/>
              <w:ind w:firstLine="560" w:firstLineChars="200"/>
              <w:jc w:val="left"/>
              <w:textAlignment w:val="top"/>
              <w:rPr>
                <w:rFonts w:hint="eastAsia" w:ascii="Times New Roman" w:hAnsi="Times New Roman" w:eastAsia="宋体" w:cs="Times New Roman"/>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8"/>
                <w:szCs w:val="28"/>
                <w:u w:val="none"/>
              </w:rPr>
            </w:pPr>
          </w:p>
        </w:tc>
        <w:tc>
          <w:tcPr>
            <w:tcW w:w="78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8"/>
                <w:szCs w:val="28"/>
                <w:u w:val="none"/>
              </w:rPr>
            </w:pPr>
          </w:p>
        </w:tc>
        <w:tc>
          <w:tcPr>
            <w:tcW w:w="78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8"/>
                <w:szCs w:val="28"/>
                <w:u w:val="none"/>
              </w:rPr>
            </w:pPr>
          </w:p>
        </w:tc>
        <w:tc>
          <w:tcPr>
            <w:tcW w:w="78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8"/>
                <w:szCs w:val="28"/>
                <w:u w:val="none"/>
              </w:rPr>
            </w:pPr>
          </w:p>
        </w:tc>
        <w:tc>
          <w:tcPr>
            <w:tcW w:w="78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8"/>
                <w:szCs w:val="28"/>
                <w:u w:val="none"/>
              </w:rPr>
            </w:pPr>
          </w:p>
        </w:tc>
        <w:tc>
          <w:tcPr>
            <w:tcW w:w="78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99"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8"/>
                <w:szCs w:val="28"/>
                <w:u w:val="none"/>
              </w:rPr>
            </w:pPr>
          </w:p>
        </w:tc>
        <w:tc>
          <w:tcPr>
            <w:tcW w:w="78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554" w:hRule="atLeast"/>
          <w:jc w:val="center"/>
        </w:trPr>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8"/>
                <w:szCs w:val="28"/>
                <w:u w:val="none"/>
              </w:rPr>
            </w:pPr>
          </w:p>
        </w:tc>
        <w:tc>
          <w:tcPr>
            <w:tcW w:w="788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8"/>
                <w:szCs w:val="28"/>
                <w:u w:val="none"/>
              </w:rPr>
            </w:pPr>
          </w:p>
        </w:tc>
      </w:tr>
    </w:tbl>
    <w:p>
      <w:pPr>
        <w:spacing w:line="500" w:lineRule="exact"/>
        <w:jc w:val="center"/>
        <w:rPr>
          <w:rFonts w:hint="eastAsia" w:eastAsia="黑体" w:cs="Times New Roman"/>
          <w:color w:val="auto"/>
          <w:sz w:val="28"/>
          <w:szCs w:val="32"/>
          <w:highlight w:val="none"/>
          <w:lang w:eastAsia="zh-CN"/>
        </w:rPr>
      </w:pPr>
    </w:p>
    <w:p>
      <w:pPr>
        <w:pStyle w:val="2"/>
        <w:ind w:left="0" w:leftChars="0" w:firstLine="0" w:firstLineChars="0"/>
        <w:jc w:val="both"/>
        <w:rPr>
          <w:rFonts w:hint="eastAsia" w:ascii="Times New Roman" w:hAnsi="Times New Roman" w:eastAsia="黑体" w:cs="Times New Roman"/>
          <w:b/>
          <w:bCs/>
          <w:color w:val="auto"/>
          <w:kern w:val="2"/>
          <w:sz w:val="28"/>
          <w:szCs w:val="32"/>
          <w:highlight w:val="none"/>
          <w:lang w:val="en-US" w:eastAsia="zh-CN" w:bidi="ar-SA"/>
        </w:rPr>
      </w:pPr>
    </w:p>
    <w:p>
      <w:pPr>
        <w:jc w:val="center"/>
        <w:rPr>
          <w:rFonts w:hint="eastAsia" w:ascii="Times New Roman" w:hAnsi="Times New Roman" w:eastAsia="黑体" w:cs="Times New Roman"/>
          <w:b/>
          <w:bCs/>
          <w:color w:val="auto"/>
          <w:kern w:val="2"/>
          <w:sz w:val="28"/>
          <w:szCs w:val="32"/>
          <w:highlight w:val="none"/>
          <w:lang w:val="en-US" w:eastAsia="zh-CN" w:bidi="ar-SA"/>
        </w:rPr>
      </w:pPr>
      <w:r>
        <w:rPr>
          <w:rFonts w:hint="default" w:ascii="Times New Roman" w:hAnsi="Times New Roman" w:eastAsia="黑体" w:cs="Times New Roman"/>
          <w:b/>
          <w:bCs/>
          <w:color w:val="auto"/>
          <w:kern w:val="2"/>
          <w:sz w:val="28"/>
          <w:szCs w:val="32"/>
          <w:highlight w:val="none"/>
          <w:lang w:val="en-US" w:eastAsia="zh-CN" w:bidi="ar-SA"/>
        </w:rPr>
        <w:t>新建渝昆高铁工程昆明空港段中铁十八局附属配套设施第二批临时用地土地复垦方案</w:t>
      </w:r>
      <w:r>
        <w:rPr>
          <w:rFonts w:hint="eastAsia" w:ascii="Times New Roman" w:hAnsi="Times New Roman" w:eastAsia="黑体" w:cs="Times New Roman"/>
          <w:b/>
          <w:bCs/>
          <w:color w:val="auto"/>
          <w:kern w:val="2"/>
          <w:sz w:val="28"/>
          <w:szCs w:val="32"/>
          <w:highlight w:val="none"/>
          <w:lang w:val="en-US" w:eastAsia="zh-CN" w:bidi="ar-SA"/>
        </w:rPr>
        <w:t>评审专家组名单</w:t>
      </w:r>
    </w:p>
    <w:tbl>
      <w:tblPr>
        <w:tblStyle w:val="5"/>
        <w:tblW w:w="94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9"/>
        <w:gridCol w:w="5605"/>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1"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姓名</w:t>
            </w:r>
          </w:p>
        </w:tc>
        <w:tc>
          <w:tcPr>
            <w:tcW w:w="5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工作单位</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职务/职称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章正军</w:t>
            </w:r>
          </w:p>
        </w:tc>
        <w:tc>
          <w:tcPr>
            <w:tcW w:w="5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省整理中心</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郭远明</w:t>
            </w:r>
          </w:p>
        </w:tc>
        <w:tc>
          <w:tcPr>
            <w:tcW w:w="5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省整理中心</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李建刚</w:t>
            </w:r>
          </w:p>
        </w:tc>
        <w:tc>
          <w:tcPr>
            <w:tcW w:w="5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昆明市国土规划勘察测绘设计研究院</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6"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吴霞</w:t>
            </w:r>
          </w:p>
        </w:tc>
        <w:tc>
          <w:tcPr>
            <w:tcW w:w="5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省林业调查规划院</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王娟</w:t>
            </w:r>
          </w:p>
        </w:tc>
        <w:tc>
          <w:tcPr>
            <w:tcW w:w="5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昆明兴地农业科技公司</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高级工程师</w:t>
            </w:r>
          </w:p>
        </w:tc>
      </w:tr>
    </w:tbl>
    <w:p>
      <w:pPr>
        <w:jc w:val="center"/>
        <w:rPr>
          <w:rFonts w:hint="default" w:ascii="Times New Roman" w:hAnsi="Times New Roman" w:eastAsia="黑体" w:cs="Times New Roman"/>
          <w:b/>
          <w:bCs/>
          <w:color w:val="auto"/>
          <w:kern w:val="2"/>
          <w:sz w:val="28"/>
          <w:szCs w:val="32"/>
          <w:highlight w:val="none"/>
          <w:lang w:val="en-US" w:eastAsia="zh-CN" w:bidi="ar-SA"/>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OGRjNGI5OGIxMGY0NTNjN2RjMjc0NWFiZWE0YTAifQ=="/>
  </w:docVars>
  <w:rsids>
    <w:rsidRoot w:val="31F64343"/>
    <w:rsid w:val="05C16462"/>
    <w:rsid w:val="31F64343"/>
    <w:rsid w:val="5B8D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kern w:val="0"/>
      <w:sz w:val="20"/>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uiPriority w:val="0"/>
    <w:rPr>
      <w:rFonts w:hint="eastAsia" w:ascii="楷体" w:hAnsi="楷体" w:eastAsia="楷体" w:cs="楷体"/>
      <w:color w:val="000000"/>
      <w:sz w:val="21"/>
      <w:szCs w:val="21"/>
      <w:u w:val="none"/>
    </w:rPr>
  </w:style>
  <w:style w:type="character" w:customStyle="1" w:styleId="8">
    <w:name w:val="font51"/>
    <w:basedOn w:val="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2023-12-12T04:26:00Z</dcterms:created>
  <dc:creator>Administrator</dc:creator>
  <cp:lastModifiedBy>Lenovo</cp:lastModifiedBy>
  <dcterms:modified xsi:type="dcterms:W3CDTF">2023-12-13T03:50:52Z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04AB1195B0674DBE8388955E17A50460_11</vt:lpwstr>
  </property>
</Properties>
</file>