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789"/>
        </w:tabs>
        <w:ind w:firstLine="0" w:firstLineChars="0"/>
        <w:rPr>
          <w:rFonts w:ascii="仿宋" w:hAnsi="仿宋"/>
          <w:b/>
          <w:bCs/>
          <w:lang w:val="zh-CN"/>
        </w:rPr>
      </w:pPr>
    </w:p>
    <w:p>
      <w:pPr>
        <w:ind w:firstLine="0" w:firstLineChars="0"/>
        <w:jc w:val="center"/>
        <w:rPr>
          <w:rFonts w:ascii="黑体" w:hAnsi="黑体" w:eastAsia="黑体"/>
          <w:sz w:val="44"/>
          <w:szCs w:val="48"/>
        </w:rPr>
      </w:pPr>
      <w:bookmarkStart w:id="0" w:name="_Toc503131961"/>
      <w:r>
        <w:rPr>
          <w:rFonts w:hint="eastAsia" w:ascii="黑体" w:hAnsi="黑体" w:eastAsia="黑体"/>
          <w:sz w:val="44"/>
          <w:szCs w:val="48"/>
        </w:rPr>
        <w:t>清水海净配水工程原水管线机场段改迁工程</w:t>
      </w:r>
    </w:p>
    <w:p>
      <w:pPr>
        <w:ind w:firstLine="0" w:firstLineChars="0"/>
        <w:jc w:val="center"/>
        <w:rPr>
          <w:rFonts w:ascii="黑体" w:hAnsi="黑体" w:eastAsia="黑体"/>
          <w:sz w:val="44"/>
          <w:szCs w:val="48"/>
          <w:lang w:val="zh-CN"/>
        </w:rPr>
      </w:pPr>
      <w:r>
        <w:rPr>
          <w:rFonts w:hint="eastAsia" w:ascii="黑体" w:hAnsi="黑体" w:eastAsia="黑体"/>
          <w:sz w:val="44"/>
          <w:szCs w:val="48"/>
        </w:rPr>
        <w:t>临时用地土地复垦</w:t>
      </w:r>
      <w:r>
        <w:rPr>
          <w:rFonts w:hint="eastAsia" w:ascii="黑体" w:hAnsi="黑体" w:eastAsia="黑体"/>
          <w:sz w:val="44"/>
          <w:szCs w:val="48"/>
          <w:lang w:val="zh-CN"/>
        </w:rPr>
        <w:t>方案</w:t>
      </w:r>
      <w:bookmarkEnd w:id="0"/>
    </w:p>
    <w:p>
      <w:pPr>
        <w:ind w:firstLine="0" w:firstLineChars="0"/>
        <w:jc w:val="center"/>
        <w:rPr>
          <w:rFonts w:ascii="黑体" w:hAnsi="黑体" w:eastAsia="黑体"/>
          <w:sz w:val="44"/>
          <w:szCs w:val="48"/>
          <w:lang w:val="zh-CN"/>
        </w:rPr>
      </w:pPr>
      <w:r>
        <w:rPr>
          <w:rFonts w:hint="eastAsia" w:ascii="黑体" w:hAnsi="黑体" w:eastAsia="黑体"/>
          <w:sz w:val="44"/>
          <w:szCs w:val="48"/>
          <w:lang w:val="zh-CN"/>
        </w:rPr>
        <w:t>（</w:t>
      </w:r>
      <w:r>
        <w:rPr>
          <w:rFonts w:hint="eastAsia" w:ascii="黑体" w:hAnsi="黑体" w:eastAsia="黑体"/>
          <w:sz w:val="44"/>
          <w:szCs w:val="48"/>
        </w:rPr>
        <w:t>公示稿</w:t>
      </w:r>
      <w:r>
        <w:rPr>
          <w:rFonts w:hint="eastAsia" w:ascii="黑体" w:hAnsi="黑体" w:eastAsia="黑体"/>
          <w:sz w:val="44"/>
          <w:szCs w:val="48"/>
          <w:lang w:val="zh-CN"/>
        </w:rPr>
        <w:t>）</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pPr>
    </w:p>
    <w:p>
      <w:pPr>
        <w:ind w:firstLine="0" w:firstLineChars="0"/>
        <w:jc w:val="left"/>
        <w:rPr>
          <w:rFonts w:ascii="黑体" w:hAnsi="黑体" w:eastAsia="黑体"/>
          <w:sz w:val="30"/>
          <w:szCs w:val="30"/>
        </w:rPr>
      </w:pPr>
      <w:bookmarkStart w:id="1" w:name="_Toc503131962"/>
    </w:p>
    <w:p>
      <w:pPr>
        <w:ind w:firstLine="0" w:firstLineChars="0"/>
        <w:jc w:val="left"/>
        <w:rPr>
          <w:rFonts w:ascii="黑体" w:hAnsi="黑体" w:eastAsia="黑体"/>
          <w:sz w:val="30"/>
          <w:szCs w:val="30"/>
        </w:rPr>
      </w:pPr>
    </w:p>
    <w:p>
      <w:pPr>
        <w:spacing w:before="120" w:beforeLines="50" w:after="120" w:afterLines="50"/>
        <w:ind w:firstLine="2280" w:firstLineChars="760"/>
        <w:rPr>
          <w:rFonts w:eastAsia="黑体"/>
          <w:bCs/>
          <w:sz w:val="30"/>
          <w:szCs w:val="30"/>
        </w:rPr>
      </w:pPr>
      <w:r>
        <w:rPr>
          <w:rFonts w:ascii="黑体" w:hAnsi="黑体" w:eastAsia="黑体"/>
          <w:sz w:val="30"/>
          <w:szCs w:val="30"/>
        </w:rPr>
        <w:t>项目单位：</w:t>
      </w:r>
      <w:bookmarkEnd w:id="1"/>
      <w:r>
        <w:rPr>
          <w:rFonts w:eastAsia="黑体"/>
          <w:bCs/>
          <w:sz w:val="30"/>
          <w:szCs w:val="30"/>
        </w:rPr>
        <w:t>昆明自来水集团有限公司</w:t>
      </w:r>
    </w:p>
    <w:p>
      <w:pPr>
        <w:spacing w:before="120" w:beforeLines="50" w:after="120" w:afterLines="50"/>
        <w:ind w:firstLine="480" w:firstLineChars="160"/>
        <w:jc w:val="center"/>
        <w:rPr>
          <w:rFonts w:ascii="黑体" w:hAnsi="黑体" w:eastAsia="黑体"/>
          <w:sz w:val="30"/>
          <w:szCs w:val="30"/>
        </w:rPr>
      </w:pPr>
      <w:bookmarkStart w:id="2" w:name="_Toc503131963"/>
      <w:r>
        <w:rPr>
          <w:rFonts w:ascii="黑体" w:hAnsi="黑体" w:eastAsia="黑体"/>
          <w:sz w:val="30"/>
          <w:szCs w:val="30"/>
        </w:rPr>
        <w:t>编制</w:t>
      </w:r>
      <w:r>
        <w:rPr>
          <w:rFonts w:hint="eastAsia" w:ascii="黑体" w:hAnsi="黑体" w:eastAsia="黑体"/>
          <w:sz w:val="30"/>
          <w:szCs w:val="30"/>
        </w:rPr>
        <w:t>单位：</w:t>
      </w:r>
      <w:bookmarkEnd w:id="2"/>
      <w:r>
        <w:rPr>
          <w:rFonts w:ascii="黑体" w:hAnsi="黑体" w:eastAsia="黑体"/>
          <w:sz w:val="30"/>
          <w:szCs w:val="30"/>
        </w:rPr>
        <w:t>昆明根苑土地技术咨询有限公司</w:t>
      </w:r>
    </w:p>
    <w:p>
      <w:pPr>
        <w:spacing w:before="120" w:beforeLines="50" w:after="120" w:afterLines="50"/>
        <w:ind w:firstLine="2280" w:firstLineChars="760"/>
        <w:rPr>
          <w:rFonts w:ascii="黑体" w:hAnsi="黑体" w:eastAsia="黑体"/>
          <w:sz w:val="30"/>
          <w:szCs w:val="30"/>
        </w:rPr>
      </w:pPr>
      <w:r>
        <w:rPr>
          <w:rFonts w:hint="eastAsia" w:ascii="黑体" w:hAnsi="黑体" w:eastAsia="黑体"/>
          <w:sz w:val="30"/>
          <w:szCs w:val="30"/>
        </w:rPr>
        <w:t>编制日期：2023年</w:t>
      </w:r>
      <w:r>
        <w:rPr>
          <w:rFonts w:ascii="黑体" w:hAnsi="黑体" w:eastAsia="黑体"/>
          <w:sz w:val="30"/>
          <w:szCs w:val="30"/>
        </w:rPr>
        <w:t>12</w:t>
      </w:r>
      <w:r>
        <w:rPr>
          <w:rFonts w:hint="eastAsia" w:ascii="黑体" w:hAnsi="黑体" w:eastAsia="黑体"/>
          <w:sz w:val="30"/>
          <w:szCs w:val="30"/>
        </w:rPr>
        <w:t>月</w:t>
      </w:r>
    </w:p>
    <w:p>
      <w:pPr>
        <w:ind w:firstLine="602"/>
        <w:sectPr>
          <w:headerReference r:id="rId5" w:type="first"/>
          <w:footerReference r:id="rId8" w:type="first"/>
          <w:headerReference r:id="rId3" w:type="default"/>
          <w:footerReference r:id="rId6" w:type="default"/>
          <w:headerReference r:id="rId4" w:type="even"/>
          <w:footerReference r:id="rId7" w:type="even"/>
          <w:pgSz w:w="11906" w:h="16838"/>
          <w:pgMar w:top="1440" w:right="1077" w:bottom="1440" w:left="1077" w:header="850" w:footer="804" w:gutter="0"/>
          <w:pgNumType w:start="0"/>
          <w:cols w:space="720" w:num="1"/>
          <w:docGrid w:linePitch="312" w:charSpace="0"/>
        </w:sectPr>
      </w:pPr>
      <w:r>
        <w:rPr>
          <w:rFonts w:hint="eastAsia" w:ascii="黑体" w:hAnsi="黑体" w:eastAsia="黑体"/>
          <w:b/>
          <w:bCs/>
          <w:sz w:val="30"/>
          <w:szCs w:val="30"/>
        </w:rPr>
        <w:br w:type="page"/>
      </w:r>
    </w:p>
    <w:p>
      <w:pPr>
        <w:ind w:firstLine="602"/>
        <w:jc w:val="center"/>
        <w:rPr>
          <w:rFonts w:ascii="黑体" w:hAnsi="黑体" w:eastAsia="黑体"/>
          <w:b/>
          <w:bCs/>
          <w:sz w:val="30"/>
          <w:szCs w:val="30"/>
        </w:rPr>
      </w:pPr>
      <w:r>
        <w:rPr>
          <w:rFonts w:hint="eastAsia" w:ascii="黑体" w:hAnsi="黑体" w:eastAsia="黑体"/>
          <w:b/>
          <w:bCs/>
          <w:sz w:val="30"/>
          <w:szCs w:val="30"/>
        </w:rPr>
        <w:t>第一部分 方案编制背景</w:t>
      </w:r>
    </w:p>
    <w:p>
      <w:pPr>
        <w:tabs>
          <w:tab w:val="left" w:pos="8789"/>
        </w:tabs>
        <w:ind w:firstLine="562"/>
        <w:rPr>
          <w:rFonts w:cs="Times New Roman"/>
          <w:b/>
          <w:bCs/>
          <w:sz w:val="28"/>
          <w:szCs w:val="28"/>
        </w:rPr>
      </w:pPr>
      <w:r>
        <w:rPr>
          <w:rFonts w:hint="eastAsia" w:cs="Times New Roman"/>
          <w:b/>
          <w:bCs/>
          <w:sz w:val="28"/>
          <w:szCs w:val="28"/>
        </w:rPr>
        <w:t>一、任务由来</w:t>
      </w:r>
    </w:p>
    <w:p>
      <w:pPr>
        <w:ind w:firstLine="480"/>
        <w:rPr>
          <w:lang w:bidi="en-US"/>
        </w:rPr>
      </w:pPr>
      <w:r>
        <w:rPr>
          <w:rFonts w:hint="eastAsia"/>
          <w:lang w:bidi="en-US"/>
        </w:rPr>
        <w:t>根据</w:t>
      </w:r>
      <w:r>
        <w:rPr>
          <w:lang w:bidi="en-US"/>
        </w:rPr>
        <w:t>2020</w:t>
      </w:r>
      <w:r>
        <w:rPr>
          <w:rFonts w:hint="eastAsia"/>
          <w:lang w:bidi="en-US"/>
        </w:rPr>
        <w:t>年</w:t>
      </w:r>
      <w:r>
        <w:rPr>
          <w:lang w:bidi="en-US"/>
        </w:rPr>
        <w:t>1</w:t>
      </w:r>
      <w:r>
        <w:rPr>
          <w:rFonts w:hint="eastAsia"/>
          <w:lang w:bidi="en-US"/>
        </w:rPr>
        <w:t>月综合信息显示，昆明长水国际机场机场共有两条跑道，东一跑道长</w:t>
      </w:r>
      <w:r>
        <w:rPr>
          <w:lang w:bidi="en-US"/>
        </w:rPr>
        <w:t>4500m</w:t>
      </w:r>
      <w:r>
        <w:rPr>
          <w:rFonts w:hint="eastAsia"/>
          <w:lang w:bidi="en-US"/>
        </w:rPr>
        <w:t>，西一跑道长</w:t>
      </w:r>
      <w:r>
        <w:rPr>
          <w:lang w:bidi="en-US"/>
        </w:rPr>
        <w:t>4000m</w:t>
      </w:r>
      <w:r>
        <w:rPr>
          <w:rFonts w:hint="eastAsia"/>
          <w:lang w:bidi="en-US"/>
        </w:rPr>
        <w:t>；机位数量（含组合机位）</w:t>
      </w:r>
      <w:r>
        <w:rPr>
          <w:lang w:bidi="en-US"/>
        </w:rPr>
        <w:t>161</w:t>
      </w:r>
      <w:r>
        <w:rPr>
          <w:rFonts w:hint="eastAsia"/>
          <w:lang w:bidi="en-US"/>
        </w:rPr>
        <w:t>个；可保障旅客吞吐量</w:t>
      </w:r>
      <w:r>
        <w:rPr>
          <w:lang w:bidi="en-US"/>
        </w:rPr>
        <w:t>3800</w:t>
      </w:r>
      <w:r>
        <w:rPr>
          <w:rFonts w:hint="eastAsia"/>
          <w:lang w:bidi="en-US"/>
        </w:rPr>
        <w:t>万人次、货邮吞吐量</w:t>
      </w:r>
      <w:r>
        <w:rPr>
          <w:lang w:bidi="en-US"/>
        </w:rPr>
        <w:t>95</w:t>
      </w:r>
      <w:r>
        <w:rPr>
          <w:rFonts w:hint="eastAsia"/>
          <w:lang w:bidi="en-US"/>
        </w:rPr>
        <w:t>万吨、飞机起降</w:t>
      </w:r>
      <w:r>
        <w:rPr>
          <w:lang w:bidi="en-US"/>
        </w:rPr>
        <w:t>30.3</w:t>
      </w:r>
      <w:r>
        <w:rPr>
          <w:rFonts w:hint="eastAsia"/>
          <w:lang w:bidi="en-US"/>
        </w:rPr>
        <w:t>万架的运行需要。但在</w:t>
      </w:r>
      <w:r>
        <w:rPr>
          <w:lang w:bidi="en-US"/>
        </w:rPr>
        <w:t>2019</w:t>
      </w:r>
      <w:r>
        <w:rPr>
          <w:rFonts w:hint="eastAsia"/>
          <w:lang w:bidi="en-US"/>
        </w:rPr>
        <w:t>年，昆明长水国际机场已超额完成航班起降</w:t>
      </w:r>
      <w:r>
        <w:rPr>
          <w:lang w:bidi="en-US"/>
        </w:rPr>
        <w:t>35.7</w:t>
      </w:r>
      <w:r>
        <w:rPr>
          <w:rFonts w:hint="eastAsia"/>
          <w:lang w:bidi="en-US"/>
        </w:rPr>
        <w:t>万架次，完成旅客吞吐量</w:t>
      </w:r>
      <w:r>
        <w:rPr>
          <w:lang w:bidi="en-US"/>
        </w:rPr>
        <w:t>4808</w:t>
      </w:r>
      <w:r>
        <w:rPr>
          <w:rFonts w:hint="eastAsia"/>
          <w:lang w:bidi="en-US"/>
        </w:rPr>
        <w:t>万人次，现有规模已渐渐不足以支撑完成国家民航强国和云南面向西南开放桥头堡战略的重大使命。</w:t>
      </w:r>
      <w:r>
        <w:rPr>
          <w:lang w:bidi="en-US"/>
        </w:rPr>
        <w:t>2019</w:t>
      </w:r>
      <w:r>
        <w:rPr>
          <w:rFonts w:hint="eastAsia"/>
          <w:lang w:bidi="en-US"/>
        </w:rPr>
        <w:t>月</w:t>
      </w:r>
      <w:r>
        <w:rPr>
          <w:lang w:bidi="en-US"/>
        </w:rPr>
        <w:t>9</w:t>
      </w:r>
      <w:r>
        <w:rPr>
          <w:rFonts w:hint="eastAsia"/>
          <w:lang w:bidi="en-US"/>
        </w:rPr>
        <w:t>日，国家民航局批复《昆明长水国际机场总体规划（</w:t>
      </w:r>
      <w:r>
        <w:rPr>
          <w:lang w:bidi="en-US"/>
        </w:rPr>
        <w:t>2019</w:t>
      </w:r>
      <w:r>
        <w:rPr>
          <w:rFonts w:hint="eastAsia"/>
          <w:lang w:bidi="en-US"/>
        </w:rPr>
        <w:t>版）》。新修编的总规按照满足近期</w:t>
      </w:r>
      <w:r>
        <w:rPr>
          <w:lang w:bidi="en-US"/>
        </w:rPr>
        <w:t>2030</w:t>
      </w:r>
      <w:r>
        <w:rPr>
          <w:rFonts w:hint="eastAsia"/>
          <w:lang w:bidi="en-US"/>
        </w:rPr>
        <w:t>年旅客吞吐量</w:t>
      </w:r>
      <w:r>
        <w:rPr>
          <w:lang w:bidi="en-US"/>
        </w:rPr>
        <w:t>1.2</w:t>
      </w:r>
      <w:r>
        <w:rPr>
          <w:rFonts w:hint="eastAsia"/>
          <w:lang w:bidi="en-US"/>
        </w:rPr>
        <w:t>亿人次、货运吞吐量</w:t>
      </w:r>
      <w:r>
        <w:rPr>
          <w:lang w:bidi="en-US"/>
        </w:rPr>
        <w:t>120</w:t>
      </w:r>
      <w:r>
        <w:rPr>
          <w:rFonts w:hint="eastAsia"/>
          <w:lang w:bidi="en-US"/>
        </w:rPr>
        <w:t>万吨、飞机起降架次</w:t>
      </w:r>
      <w:r>
        <w:rPr>
          <w:lang w:bidi="en-US"/>
        </w:rPr>
        <w:t>76.2</w:t>
      </w:r>
      <w:r>
        <w:rPr>
          <w:rFonts w:hint="eastAsia"/>
          <w:lang w:bidi="en-US"/>
        </w:rPr>
        <w:t>万架次，远期（终端）年旅客吞吐量</w:t>
      </w:r>
      <w:r>
        <w:rPr>
          <w:lang w:bidi="en-US"/>
        </w:rPr>
        <w:t>1.4</w:t>
      </w:r>
      <w:r>
        <w:rPr>
          <w:rFonts w:hint="eastAsia"/>
          <w:lang w:bidi="en-US"/>
        </w:rPr>
        <w:t>亿人次、货邮吞吐量</w:t>
      </w:r>
      <w:r>
        <w:rPr>
          <w:lang w:bidi="en-US"/>
        </w:rPr>
        <w:t>300</w:t>
      </w:r>
      <w:r>
        <w:rPr>
          <w:rFonts w:hint="eastAsia"/>
          <w:lang w:bidi="en-US"/>
        </w:rPr>
        <w:t>万吨、飞机起降架次</w:t>
      </w:r>
      <w:r>
        <w:rPr>
          <w:lang w:bidi="en-US"/>
        </w:rPr>
        <w:t>84.8</w:t>
      </w:r>
      <w:r>
        <w:rPr>
          <w:rFonts w:hint="eastAsia"/>
          <w:lang w:bidi="en-US"/>
        </w:rPr>
        <w:t>万架次需求进行用地控制。近期规划新建东二、西二、西三</w:t>
      </w:r>
      <w:r>
        <w:rPr>
          <w:lang w:bidi="en-US"/>
        </w:rPr>
        <w:t>3</w:t>
      </w:r>
      <w:r>
        <w:rPr>
          <w:rFonts w:hint="eastAsia"/>
          <w:lang w:bidi="en-US"/>
        </w:rPr>
        <w:t>条跑道，中央航站区新建</w:t>
      </w:r>
      <w:r>
        <w:rPr>
          <w:lang w:bidi="en-US"/>
        </w:rPr>
        <w:t>T2</w:t>
      </w:r>
      <w:r>
        <w:rPr>
          <w:rFonts w:hint="eastAsia"/>
          <w:lang w:bidi="en-US"/>
        </w:rPr>
        <w:t>航站楼和</w:t>
      </w:r>
      <w:r>
        <w:rPr>
          <w:lang w:bidi="en-US"/>
        </w:rPr>
        <w:t>S2</w:t>
      </w:r>
      <w:r>
        <w:rPr>
          <w:rFonts w:hint="eastAsia"/>
          <w:lang w:bidi="en-US"/>
        </w:rPr>
        <w:t>卫星厅，远期规划预留西航站区用地。</w:t>
      </w:r>
    </w:p>
    <w:p>
      <w:pPr>
        <w:ind w:firstLine="480"/>
        <w:rPr>
          <w:lang w:bidi="en-US"/>
        </w:rPr>
      </w:pPr>
      <w:r>
        <w:rPr>
          <w:lang w:bidi="en-US"/>
        </w:rPr>
        <w:t>2020</w:t>
      </w:r>
      <w:r>
        <w:rPr>
          <w:rFonts w:hint="eastAsia"/>
          <w:lang w:bidi="en-US"/>
        </w:rPr>
        <w:t>年</w:t>
      </w:r>
      <w:r>
        <w:rPr>
          <w:lang w:bidi="en-US"/>
        </w:rPr>
        <w:t>7</w:t>
      </w:r>
      <w:r>
        <w:rPr>
          <w:rFonts w:hint="eastAsia"/>
          <w:lang w:bidi="en-US"/>
        </w:rPr>
        <w:t>月</w:t>
      </w:r>
      <w:r>
        <w:rPr>
          <w:lang w:bidi="en-US"/>
        </w:rPr>
        <w:t>20</w:t>
      </w:r>
      <w:r>
        <w:rPr>
          <w:rFonts w:hint="eastAsia"/>
          <w:lang w:bidi="en-US"/>
        </w:rPr>
        <w:t>日，昆明市政府联合云南滇中新区管理委员会、民航云南安全监督管理局正式公布《关于公布昆明长水国际机场净空保护区的通告》，昆明长水国际机场净空保护区范围将由原来的</w:t>
      </w:r>
      <w:r>
        <w:rPr>
          <w:lang w:bidi="en-US"/>
        </w:rPr>
        <w:t>1028km</w:t>
      </w:r>
      <w:r>
        <w:rPr>
          <w:vertAlign w:val="superscript"/>
          <w:lang w:bidi="en-US"/>
        </w:rPr>
        <w:t>2</w:t>
      </w:r>
      <w:r>
        <w:rPr>
          <w:rFonts w:hint="eastAsia"/>
          <w:lang w:bidi="en-US"/>
        </w:rPr>
        <w:t>扩增至</w:t>
      </w:r>
      <w:r>
        <w:rPr>
          <w:lang w:bidi="en-US"/>
        </w:rPr>
        <w:t>1068km</w:t>
      </w:r>
      <w:r>
        <w:rPr>
          <w:vertAlign w:val="superscript"/>
          <w:lang w:bidi="en-US"/>
        </w:rPr>
        <w:t>2</w:t>
      </w:r>
      <w:r>
        <w:rPr>
          <w:rFonts w:hint="eastAsia"/>
          <w:lang w:bidi="en-US"/>
        </w:rPr>
        <w:t>。</w:t>
      </w:r>
    </w:p>
    <w:p>
      <w:pPr>
        <w:ind w:firstLine="480"/>
        <w:rPr>
          <w:lang w:bidi="en-US"/>
        </w:rPr>
      </w:pPr>
      <w:r>
        <w:rPr>
          <w:rFonts w:hint="eastAsia"/>
          <w:lang w:bidi="en-US"/>
        </w:rPr>
        <w:t>伴随着机场二期工程的全面建设和机场净空保护区的增扩，势必影响原输水线路的运行安全，而原有输水线路的设置，同时也影响机场二期工程的建设。</w:t>
      </w:r>
    </w:p>
    <w:p>
      <w:pPr>
        <w:ind w:firstLine="480"/>
        <w:rPr>
          <w:lang w:bidi="en-US"/>
        </w:rPr>
      </w:pPr>
      <w:r>
        <w:rPr>
          <w:rFonts w:hint="eastAsia"/>
          <w:lang w:bidi="en-US"/>
        </w:rPr>
        <w:t>因此，不管是从满足滇中新区的整体开发建设，落实“一枢纽、四中心、一目的地”发展战略来看，还是从机场二期扩建工程考虑，更从城市供水安全角度考虑，对规划区范围内的现状原水管实施改迁都是十分必要的。工程的实施，对提高昆明市供水保障能力，构建昆明市供水安全保障网具有重要意义，符合国家和云南省发展战略要求。</w:t>
      </w:r>
    </w:p>
    <w:p>
      <w:pPr>
        <w:ind w:firstLine="480"/>
        <w:rPr>
          <w:rFonts w:ascii="仿宋" w:hAnsi="仿宋" w:eastAsia="仿宋"/>
          <w:sz w:val="28"/>
          <w:szCs w:val="28"/>
        </w:rPr>
      </w:pPr>
      <w:r>
        <w:rPr>
          <w:rFonts w:hint="eastAsia"/>
          <w:lang w:bidi="en-US"/>
        </w:rPr>
        <w:t>清水海净配水工程原水管线机场段改迁工程项目</w:t>
      </w:r>
      <w:r>
        <w:t>于2022年</w:t>
      </w:r>
      <w:r>
        <w:rPr>
          <w:rFonts w:hint="eastAsia"/>
        </w:rPr>
        <w:t>7</w:t>
      </w:r>
      <w:r>
        <w:t>月</w:t>
      </w:r>
      <w:r>
        <w:rPr>
          <w:rFonts w:hint="eastAsia"/>
        </w:rPr>
        <w:t>8</w:t>
      </w:r>
      <w:r>
        <w:t>日取得《云南滇中新区行政审批局关于清水海净配水工程原水管线机场段改迁工程可行性研究报告批复》（滇中审批</w:t>
      </w:r>
      <w:r>
        <w:rPr>
          <w:rFonts w:hint="eastAsia"/>
        </w:rPr>
        <w:t>〔2022〕34</w:t>
      </w:r>
      <w:r>
        <w:t>号</w:t>
      </w:r>
      <w:r>
        <w:rPr>
          <w:rFonts w:hint="eastAsia"/>
        </w:rPr>
        <w:t>），</w:t>
      </w:r>
      <w:r>
        <w:rPr>
          <w:rFonts w:hint="eastAsia"/>
          <w:lang w:bidi="en-US"/>
        </w:rPr>
        <w:t>改项目计划于2</w:t>
      </w:r>
      <w:r>
        <w:rPr>
          <w:lang w:bidi="en-US"/>
        </w:rPr>
        <w:t>023</w:t>
      </w:r>
      <w:r>
        <w:rPr>
          <w:rFonts w:hint="eastAsia"/>
          <w:lang w:bidi="en-US"/>
        </w:rPr>
        <w:t>年</w:t>
      </w:r>
      <w:r>
        <w:rPr>
          <w:lang w:bidi="en-US"/>
        </w:rPr>
        <w:t>12</w:t>
      </w:r>
      <w:r>
        <w:rPr>
          <w:rFonts w:hint="eastAsia"/>
          <w:lang w:bidi="en-US"/>
        </w:rPr>
        <w:t>月开工。</w:t>
      </w:r>
      <w:r>
        <w:rPr>
          <w:rFonts w:hint="eastAsia"/>
        </w:rPr>
        <w:t>项目区</w:t>
      </w:r>
      <w:r>
        <w:rPr>
          <w:rFonts w:hint="eastAsia"/>
          <w:lang w:bidi="en-US"/>
        </w:rPr>
        <w:t>位于昆明市滇中新区，设计输水流量</w:t>
      </w:r>
      <w:r>
        <w:rPr>
          <w:lang w:bidi="en-US"/>
        </w:rPr>
        <w:t>6m</w:t>
      </w:r>
      <w:r>
        <w:rPr>
          <w:vertAlign w:val="superscript"/>
          <w:lang w:bidi="en-US"/>
        </w:rPr>
        <w:t>3</w:t>
      </w:r>
      <w:r>
        <w:rPr>
          <w:lang w:bidi="en-US"/>
        </w:rPr>
        <w:t>/s</w:t>
      </w:r>
      <w:r>
        <w:rPr>
          <w:rFonts w:hint="eastAsia"/>
          <w:lang w:bidi="en-US"/>
        </w:rPr>
        <w:t>，输水线路起点在响水村附近，经打鹰山、严家庄、锅盖山等，终点位于康朗村东南的金浑公路旁，线路全长约</w:t>
      </w:r>
      <w:r>
        <w:rPr>
          <w:lang w:bidi="en-US"/>
        </w:rPr>
        <w:t>11.25km</w:t>
      </w:r>
      <w:r>
        <w:rPr>
          <w:rFonts w:hint="eastAsia"/>
          <w:lang w:bidi="en-US"/>
        </w:rPr>
        <w:t>。工程区附近分布有昆曲高速、银昆高速、长水机场高速、金浑公路及与其相连的简易乡村公路，在施工期间均可利用作为工程对外交通公路，交通条件较为方便。</w:t>
      </w:r>
    </w:p>
    <w:p>
      <w:pPr>
        <w:ind w:firstLine="480"/>
        <w:rPr>
          <w:lang w:bidi="en-US"/>
        </w:rPr>
      </w:pPr>
      <w:r>
        <w:rPr>
          <w:rFonts w:hint="eastAsia"/>
        </w:rPr>
        <w:t>布置</w:t>
      </w:r>
      <w:r>
        <w:rPr>
          <w:lang w:bidi="en-US"/>
        </w:rPr>
        <w:t>为了加强土地复垦工作，珍惜和合理利用每一寸土地，改善生态环境，实现土地资源可持续利用，促进区域经济、社会和环境的和谐发展。认真履行《土地管理法》及《土地复垦条例》等相关法律法规</w:t>
      </w:r>
      <w:r>
        <w:rPr>
          <w:rFonts w:hint="eastAsia"/>
        </w:rPr>
        <w:t>。</w:t>
      </w:r>
      <w:r>
        <w:rPr>
          <w:rFonts w:hint="eastAsia"/>
          <w:lang w:bidi="en-US"/>
        </w:rPr>
        <w:t>202</w:t>
      </w:r>
      <w:r>
        <w:rPr>
          <w:lang w:bidi="en-US"/>
        </w:rPr>
        <w:t>3</w:t>
      </w:r>
      <w:r>
        <w:rPr>
          <w:rFonts w:hint="eastAsia"/>
          <w:lang w:bidi="en-US"/>
        </w:rPr>
        <w:t>年</w:t>
      </w:r>
      <w:r>
        <w:rPr>
          <w:lang w:bidi="en-US"/>
        </w:rPr>
        <w:t>8</w:t>
      </w:r>
      <w:r>
        <w:rPr>
          <w:rFonts w:hint="eastAsia"/>
          <w:lang w:bidi="en-US"/>
        </w:rPr>
        <w:t>月昆明自来水集团有限公司委托</w:t>
      </w:r>
      <w:r>
        <w:rPr>
          <w:lang w:bidi="en-US"/>
        </w:rPr>
        <w:t>昆明根苑土地技术咨询有限公司</w:t>
      </w:r>
      <w:r>
        <w:rPr>
          <w:rFonts w:hint="eastAsia"/>
          <w:lang w:bidi="en-US"/>
        </w:rPr>
        <w:t>对昆明市清水海净配水工程原水管线机场段改迁工程临时用地</w:t>
      </w:r>
      <w:r>
        <w:rPr>
          <w:lang w:bidi="en-US"/>
        </w:rPr>
        <w:t>进行土地</w:t>
      </w:r>
      <w:r>
        <w:rPr>
          <w:rFonts w:hint="eastAsia"/>
          <w:lang w:bidi="en-US"/>
        </w:rPr>
        <w:t>报批等相关</w:t>
      </w:r>
      <w:r>
        <w:rPr>
          <w:lang w:bidi="en-US"/>
        </w:rPr>
        <w:t>工作</w:t>
      </w:r>
      <w:r>
        <w:rPr>
          <w:rFonts w:hint="eastAsia"/>
          <w:lang w:bidi="en-US"/>
        </w:rPr>
        <w:t>，接到委托任务后，</w:t>
      </w:r>
      <w:r>
        <w:rPr>
          <w:lang w:bidi="en-US"/>
        </w:rPr>
        <w:t>经结合项目施工进度，2023年9月</w:t>
      </w:r>
      <w:r>
        <w:rPr>
          <w:rFonts w:hint="eastAsia"/>
          <w:lang w:bidi="en-US"/>
        </w:rPr>
        <w:t>初</w:t>
      </w:r>
      <w:r>
        <w:rPr>
          <w:lang w:bidi="en-US"/>
        </w:rPr>
        <w:t>，我公司选派了专业技术人员对项目区进行了实地踏勘，在对本项目有关资料研究分析的基础上，根据工程特点，进行了项目区地形地貌、水文地质、土地损毁情况、土地利用现状等自然情况的调查，并收集了各种相关资料</w:t>
      </w:r>
      <w:r>
        <w:rPr>
          <w:rFonts w:hint="eastAsia"/>
          <w:lang w:bidi="en-US"/>
        </w:rPr>
        <w:t>，提交至云南滇中新区自然资源规划局</w:t>
      </w:r>
      <w:r>
        <w:rPr>
          <w:lang w:bidi="en-US"/>
        </w:rPr>
        <w:t>。</w:t>
      </w:r>
      <w:r>
        <w:rPr>
          <w:rFonts w:hint="eastAsia"/>
          <w:lang w:bidi="en-US"/>
        </w:rPr>
        <w:t>202</w:t>
      </w:r>
      <w:r>
        <w:rPr>
          <w:lang w:bidi="en-US"/>
        </w:rPr>
        <w:t>3</w:t>
      </w:r>
      <w:r>
        <w:rPr>
          <w:rFonts w:hint="eastAsia"/>
          <w:lang w:bidi="en-US"/>
        </w:rPr>
        <w:t>年</w:t>
      </w:r>
      <w:r>
        <w:rPr>
          <w:lang w:bidi="en-US"/>
        </w:rPr>
        <w:t>9</w:t>
      </w:r>
      <w:r>
        <w:rPr>
          <w:rFonts w:hint="eastAsia"/>
          <w:lang w:bidi="en-US"/>
        </w:rPr>
        <w:t>月云南滇中新区自然资源规划局组织相关政府单位对项目涉及的临时占用永久基本农田和其它临时用地地块进行了踏勘论证，重点对临时用地所涉及的永久基本农田进行了论证，并与2</w:t>
      </w:r>
      <w:r>
        <w:rPr>
          <w:lang w:bidi="en-US"/>
        </w:rPr>
        <w:t>023</w:t>
      </w:r>
      <w:r>
        <w:rPr>
          <w:rFonts w:hint="eastAsia"/>
          <w:lang w:bidi="en-US"/>
        </w:rPr>
        <w:t>年1</w:t>
      </w:r>
      <w:r>
        <w:rPr>
          <w:lang w:bidi="en-US"/>
        </w:rPr>
        <w:t>1</w:t>
      </w:r>
      <w:r>
        <w:rPr>
          <w:rFonts w:hint="eastAsia"/>
          <w:lang w:bidi="en-US"/>
        </w:rPr>
        <w:t>月取得了</w:t>
      </w:r>
      <w:r>
        <w:rPr>
          <w:lang w:bidi="en-US"/>
        </w:rPr>
        <w:t>《</w:t>
      </w:r>
      <w:r>
        <w:rPr>
          <w:rFonts w:hint="eastAsia"/>
          <w:lang w:bidi="en-US"/>
        </w:rPr>
        <w:t>关于清水海净配水工程原水管线机场段改迁工程临时占用永久基本农田实地踏勘意见的函</w:t>
      </w:r>
      <w:r>
        <w:rPr>
          <w:lang w:bidi="en-US"/>
        </w:rPr>
        <w:t>》</w:t>
      </w:r>
      <w:r>
        <w:rPr>
          <w:rFonts w:hint="eastAsia"/>
          <w:lang w:bidi="en-US"/>
        </w:rPr>
        <w:t>。</w:t>
      </w:r>
      <w:r>
        <w:rPr>
          <w:lang w:bidi="en-US"/>
        </w:rPr>
        <w:t>2023年11月，我公司编制完成了《</w:t>
      </w:r>
      <w:r>
        <w:rPr>
          <w:rFonts w:hint="eastAsia"/>
          <w:lang w:bidi="en-US"/>
        </w:rPr>
        <w:t>清水海净配水工程原水管线机场段改迁工程</w:t>
      </w:r>
      <w:r>
        <w:rPr>
          <w:lang w:bidi="en-US"/>
        </w:rPr>
        <w:t>临时用</w:t>
      </w:r>
      <w:r>
        <w:rPr>
          <w:rFonts w:hint="eastAsia"/>
          <w:lang w:bidi="en-US"/>
        </w:rPr>
        <w:t>地</w:t>
      </w:r>
      <w:r>
        <w:rPr>
          <w:lang w:bidi="en-US"/>
        </w:rPr>
        <w:t>土地复垦方案报告书》</w:t>
      </w:r>
      <w:r>
        <w:rPr>
          <w:rFonts w:hint="eastAsia"/>
          <w:lang w:bidi="en-US"/>
        </w:rPr>
        <w:t>，</w:t>
      </w:r>
      <w:r>
        <w:rPr>
          <w:lang w:bidi="en-US"/>
        </w:rPr>
        <w:t>现按照土地复垦方案审查相关规定，报相关自然资源部门审查</w:t>
      </w:r>
      <w:r>
        <w:rPr>
          <w:rFonts w:hint="eastAsia"/>
          <w:lang w:bidi="en-US"/>
        </w:rPr>
        <w:t>。</w:t>
      </w:r>
    </w:p>
    <w:p>
      <w:pPr>
        <w:pStyle w:val="124"/>
        <w:ind w:firstLine="480"/>
        <w:jc w:val="both"/>
        <w:rPr>
          <w:szCs w:val="24"/>
        </w:rPr>
      </w:pPr>
      <w:r>
        <w:rPr>
          <w:szCs w:val="24"/>
        </w:rPr>
        <w:t>编制《</w:t>
      </w:r>
      <w:r>
        <w:rPr>
          <w:rFonts w:hint="eastAsia"/>
          <w:szCs w:val="24"/>
        </w:rPr>
        <w:t>清水海净配水工程原水管线机场段改迁工程</w:t>
      </w:r>
      <w:r>
        <w:rPr>
          <w:szCs w:val="24"/>
        </w:rPr>
        <w:t>临时用</w:t>
      </w:r>
      <w:r>
        <w:rPr>
          <w:rFonts w:hint="eastAsia"/>
          <w:szCs w:val="24"/>
        </w:rPr>
        <w:t>地</w:t>
      </w:r>
      <w:r>
        <w:rPr>
          <w:szCs w:val="24"/>
        </w:rPr>
        <w:t>土地复垦方案报告书》的意义在于：一是避免复垦工作的盲目性，减轻企业和社会的负担；二是保证土地复垦工作与生产建设协调进行；三是明确复垦土地的利用方向，提高土地利用率和土地资源的可持续发展；四是改善项目区周边的生态环境；五是为</w:t>
      </w:r>
      <w:r>
        <w:rPr>
          <w:rFonts w:hint="eastAsia"/>
          <w:szCs w:val="24"/>
        </w:rPr>
        <w:t>云南滇中新区</w:t>
      </w:r>
      <w:r>
        <w:rPr>
          <w:szCs w:val="24"/>
        </w:rPr>
        <w:t>自然资源</w:t>
      </w:r>
      <w:r>
        <w:rPr>
          <w:rFonts w:hint="eastAsia"/>
          <w:szCs w:val="24"/>
        </w:rPr>
        <w:t>规划</w:t>
      </w:r>
      <w:r>
        <w:rPr>
          <w:szCs w:val="24"/>
        </w:rPr>
        <w:t>局监督检查提供依据。</w:t>
      </w:r>
    </w:p>
    <w:p>
      <w:pPr>
        <w:tabs>
          <w:tab w:val="left" w:pos="8789"/>
        </w:tabs>
        <w:ind w:firstLine="562"/>
        <w:rPr>
          <w:rFonts w:cs="Times New Roman"/>
          <w:b/>
          <w:bCs/>
          <w:sz w:val="28"/>
          <w:szCs w:val="28"/>
        </w:rPr>
      </w:pPr>
      <w:r>
        <w:rPr>
          <w:rFonts w:hint="eastAsia" w:cs="Times New Roman"/>
          <w:b/>
          <w:bCs/>
          <w:sz w:val="28"/>
          <w:szCs w:val="28"/>
        </w:rPr>
        <w:t>二、编制目的</w:t>
      </w:r>
    </w:p>
    <w:p>
      <w:pPr>
        <w:pStyle w:val="124"/>
        <w:ind w:firstLine="480"/>
        <w:jc w:val="both"/>
        <w:rPr>
          <w:szCs w:val="24"/>
        </w:rPr>
      </w:pPr>
      <w:r>
        <w:rPr>
          <w:szCs w:val="24"/>
        </w:rPr>
        <w:t>编制《清水海净配水工程原水管线机场段改迁工程临时用地土地复垦方案》的目的在于贯彻落实《关于加强生产建设项目土地复垦管理工作的通知》（国土资发〔2006〕225号）文件精神，认真履行《土地管理法》及《土地复垦条例》等相关法律法规。通过项目所涉及的土地利用现状的调查论证，对其</w:t>
      </w:r>
      <w:r>
        <w:rPr>
          <w:rFonts w:hint="eastAsia"/>
          <w:szCs w:val="24"/>
        </w:rPr>
        <w:t>“</w:t>
      </w:r>
      <w:r>
        <w:rPr>
          <w:szCs w:val="24"/>
        </w:rPr>
        <w:t>在建设过程中，因挖损、塌陷、压占、污染等造成损毁的土地，采取整治措施，使其恢复到可供利用状态</w:t>
      </w:r>
      <w:r>
        <w:rPr>
          <w:rFonts w:hint="eastAsia"/>
          <w:szCs w:val="24"/>
        </w:rPr>
        <w:t>”</w:t>
      </w:r>
      <w:r>
        <w:rPr>
          <w:szCs w:val="24"/>
        </w:rPr>
        <w:t>；按照</w:t>
      </w:r>
      <w:r>
        <w:rPr>
          <w:rFonts w:hint="eastAsia"/>
          <w:szCs w:val="24"/>
        </w:rPr>
        <w:t>“</w:t>
      </w:r>
      <w:r>
        <w:rPr>
          <w:szCs w:val="24"/>
        </w:rPr>
        <w:t>谁损毁、谁复垦</w:t>
      </w:r>
      <w:r>
        <w:rPr>
          <w:rFonts w:hint="eastAsia"/>
          <w:szCs w:val="24"/>
        </w:rPr>
        <w:t>”</w:t>
      </w:r>
      <w:r>
        <w:rPr>
          <w:szCs w:val="24"/>
        </w:rPr>
        <w:t>的原则，制订建设单位土地复垦的目标、任务、措施和计划，保证珍惜和合理利用每一寸土地，改善生态环境，实现土地资源可持续利用，促进经济、社会和环境的和谐发展，为指导和规范工程建设及土地复垦等后续工作提供依据。</w:t>
      </w:r>
    </w:p>
    <w:p>
      <w:pPr>
        <w:pStyle w:val="124"/>
        <w:ind w:firstLine="480"/>
        <w:jc w:val="both"/>
        <w:rPr>
          <w:szCs w:val="24"/>
        </w:rPr>
      </w:pPr>
      <w:r>
        <w:rPr>
          <w:szCs w:val="24"/>
        </w:rPr>
        <w:t>根据建设项目所在区域的自然环境与社会发展情况，全面考虑建设过程对土地资源的影响，使建设及生产活动符合县乡两级土地利用总体规划的要求；针对建设活动过程中可能产生的对土地的损毁做出预测，提出相应的治理措施，保护并合理利用土地资源，改善工程区及周边地区生态环境，为项目的建设和生产创造条件，保障当地社会经济持续发展。各项工作任务和要求如下：</w:t>
      </w:r>
    </w:p>
    <w:p>
      <w:pPr>
        <w:pStyle w:val="124"/>
        <w:ind w:firstLine="480"/>
        <w:jc w:val="both"/>
        <w:rPr>
          <w:szCs w:val="24"/>
        </w:rPr>
      </w:pPr>
      <w:r>
        <w:rPr>
          <w:szCs w:val="24"/>
        </w:rPr>
        <w:t>1）落实项目建设及生产期间损毁土地的类型，预测各类土地损毁范围和损毁程度，量算并统计各类被损毁土地的面积。</w:t>
      </w:r>
    </w:p>
    <w:p>
      <w:pPr>
        <w:pStyle w:val="124"/>
        <w:ind w:firstLine="480"/>
        <w:jc w:val="both"/>
        <w:rPr>
          <w:szCs w:val="24"/>
        </w:rPr>
      </w:pPr>
      <w:r>
        <w:rPr>
          <w:szCs w:val="24"/>
        </w:rPr>
        <w:t>2）据调查和预测结果，分别统计和确定被损毁土地应复垦的面积，并根据各类土地的损毁时间、损毁性质和损毁程度，规划其复垦时间和复垦后的利用类型。</w:t>
      </w:r>
    </w:p>
    <w:p>
      <w:pPr>
        <w:pStyle w:val="124"/>
        <w:ind w:firstLine="480"/>
        <w:jc w:val="both"/>
        <w:rPr>
          <w:szCs w:val="24"/>
        </w:rPr>
      </w:pPr>
      <w:r>
        <w:rPr>
          <w:szCs w:val="24"/>
        </w:rPr>
        <w:t>3）各类土地复垦技术要求设计复垦方案、复垦工艺，明确要求达到的技术标准和技术参数，计算复垦工程量，提出复垦工程投资</w:t>
      </w:r>
      <w:r>
        <w:rPr>
          <w:rFonts w:hint="eastAsia"/>
          <w:szCs w:val="24"/>
        </w:rPr>
        <w:t>估</w:t>
      </w:r>
      <w:r>
        <w:rPr>
          <w:szCs w:val="24"/>
        </w:rPr>
        <w:t>算，以及土地复垦工作计划安排。</w:t>
      </w:r>
    </w:p>
    <w:p>
      <w:pPr>
        <w:tabs>
          <w:tab w:val="left" w:pos="8789"/>
        </w:tabs>
        <w:ind w:firstLine="480"/>
        <w:rPr>
          <w:rFonts w:cs="Times New Roman"/>
        </w:rPr>
      </w:pPr>
    </w:p>
    <w:p>
      <w:pPr>
        <w:tabs>
          <w:tab w:val="left" w:pos="8789"/>
        </w:tabs>
        <w:jc w:val="center"/>
        <w:rPr>
          <w:b/>
        </w:rPr>
      </w:pPr>
    </w:p>
    <w:p>
      <w:pPr>
        <w:tabs>
          <w:tab w:val="left" w:pos="8789"/>
        </w:tabs>
        <w:jc w:val="center"/>
        <w:rPr>
          <w:b/>
        </w:rPr>
      </w:pPr>
    </w:p>
    <w:p>
      <w:pPr>
        <w:tabs>
          <w:tab w:val="left" w:pos="8789"/>
        </w:tabs>
        <w:jc w:val="center"/>
        <w:rPr>
          <w:b/>
        </w:rPr>
      </w:pPr>
    </w:p>
    <w:p>
      <w:pPr>
        <w:tabs>
          <w:tab w:val="left" w:pos="8789"/>
        </w:tabs>
        <w:jc w:val="center"/>
        <w:rPr>
          <w:b/>
        </w:rPr>
      </w:pPr>
    </w:p>
    <w:p>
      <w:pPr>
        <w:tabs>
          <w:tab w:val="left" w:pos="8789"/>
        </w:tabs>
        <w:jc w:val="center"/>
        <w:rPr>
          <w:b/>
        </w:rPr>
      </w:pPr>
    </w:p>
    <w:p>
      <w:pPr>
        <w:tabs>
          <w:tab w:val="left" w:pos="8789"/>
        </w:tabs>
        <w:jc w:val="center"/>
        <w:rPr>
          <w:b/>
        </w:rPr>
      </w:pPr>
    </w:p>
    <w:p>
      <w:pPr>
        <w:tabs>
          <w:tab w:val="left" w:pos="8789"/>
        </w:tabs>
        <w:jc w:val="center"/>
        <w:rPr>
          <w:b/>
        </w:rPr>
      </w:pPr>
    </w:p>
    <w:p>
      <w:pPr>
        <w:tabs>
          <w:tab w:val="left" w:pos="8789"/>
        </w:tabs>
        <w:jc w:val="center"/>
        <w:rPr>
          <w:b/>
        </w:rPr>
      </w:pPr>
    </w:p>
    <w:p>
      <w:pPr>
        <w:tabs>
          <w:tab w:val="left" w:pos="8789"/>
        </w:tabs>
        <w:ind w:firstLine="0" w:firstLineChars="0"/>
        <w:rPr>
          <w:b/>
        </w:rPr>
      </w:pPr>
    </w:p>
    <w:p>
      <w:pPr>
        <w:ind w:firstLine="0" w:firstLineChars="0"/>
        <w:jc w:val="center"/>
        <w:rPr>
          <w:b/>
          <w:sz w:val="28"/>
        </w:rPr>
        <w:sectPr>
          <w:footerReference r:id="rId9" w:type="default"/>
          <w:pgSz w:w="11906" w:h="16838"/>
          <w:pgMar w:top="1440" w:right="1077" w:bottom="1440" w:left="1077" w:header="850" w:footer="804" w:gutter="0"/>
          <w:pgNumType w:start="1"/>
          <w:cols w:space="720" w:num="1"/>
          <w:docGrid w:linePitch="312" w:charSpace="0"/>
        </w:sectPr>
      </w:pPr>
    </w:p>
    <w:p>
      <w:pPr>
        <w:ind w:left="-480" w:leftChars="-200" w:firstLine="0" w:firstLineChars="0"/>
        <w:jc w:val="center"/>
        <w:rPr>
          <w:b/>
          <w:sz w:val="28"/>
        </w:rPr>
      </w:pPr>
      <w:r>
        <w:rPr>
          <w:rFonts w:hint="eastAsia" w:ascii="黑体" w:hAnsi="黑体" w:eastAsia="黑体"/>
          <w:b/>
          <w:bCs/>
          <w:sz w:val="30"/>
          <w:szCs w:val="30"/>
        </w:rPr>
        <w:t>第二部分 土地复垦方案基本情况表</w:t>
      </w:r>
    </w:p>
    <w:tbl>
      <w:tblPr>
        <w:tblStyle w:val="26"/>
        <w:tblW w:w="108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06"/>
        <w:gridCol w:w="1357"/>
        <w:gridCol w:w="2474"/>
        <w:gridCol w:w="180"/>
        <w:gridCol w:w="2383"/>
        <w:gridCol w:w="46"/>
        <w:gridCol w:w="25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816" w:type="dxa"/>
            <w:vMerge w:val="restart"/>
            <w:textDirection w:val="tbRlV"/>
            <w:vAlign w:val="center"/>
          </w:tcPr>
          <w:p>
            <w:pPr>
              <w:adjustRightInd/>
              <w:ind w:firstLine="420"/>
              <w:jc w:val="center"/>
              <w:rPr>
                <w:rFonts w:cs="Times New Roman"/>
                <w:b/>
                <w:sz w:val="21"/>
                <w:szCs w:val="21"/>
              </w:rPr>
            </w:pPr>
            <w:r>
              <w:rPr>
                <w:rFonts w:cs="Times New Roman"/>
                <w:color w:val="000000"/>
                <w:sz w:val="21"/>
                <w:szCs w:val="21"/>
              </w:rPr>
              <w:t>生产（建设项目概况）</w:t>
            </w: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项目名称</w:t>
            </w:r>
          </w:p>
        </w:tc>
        <w:tc>
          <w:tcPr>
            <w:tcW w:w="7661" w:type="dxa"/>
            <w:gridSpan w:val="5"/>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清水海净配水工程原水管线机场段改迁工程临时用地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单位名称</w:t>
            </w:r>
          </w:p>
        </w:tc>
        <w:tc>
          <w:tcPr>
            <w:tcW w:w="7661" w:type="dxa"/>
            <w:gridSpan w:val="5"/>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昆明自来水集团有限公司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1"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法人代表</w:t>
            </w:r>
          </w:p>
        </w:tc>
        <w:tc>
          <w:tcPr>
            <w:tcW w:w="2474"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邱</w:t>
            </w:r>
            <w:r>
              <w:rPr>
                <w:rFonts w:hint="eastAsia" w:cs="Times New Roman"/>
                <w:sz w:val="21"/>
                <w:szCs w:val="21"/>
              </w:rPr>
              <w:t>*</w:t>
            </w:r>
          </w:p>
        </w:tc>
        <w:tc>
          <w:tcPr>
            <w:tcW w:w="25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联系电话</w:t>
            </w:r>
          </w:p>
        </w:tc>
        <w:tc>
          <w:tcPr>
            <w:tcW w:w="262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1"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单位地址</w:t>
            </w:r>
          </w:p>
        </w:tc>
        <w:tc>
          <w:tcPr>
            <w:tcW w:w="7661" w:type="dxa"/>
            <w:gridSpan w:val="5"/>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云南省昆明市呈贡区云景路2号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2"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企业性质</w:t>
            </w:r>
          </w:p>
        </w:tc>
        <w:tc>
          <w:tcPr>
            <w:tcW w:w="7661" w:type="dxa"/>
            <w:gridSpan w:val="5"/>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8"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项目位置</w:t>
            </w:r>
          </w:p>
        </w:tc>
        <w:tc>
          <w:tcPr>
            <w:tcW w:w="7661" w:type="dxa"/>
            <w:gridSpan w:val="5"/>
            <w:vAlign w:val="center"/>
          </w:tcPr>
          <w:p>
            <w:pPr>
              <w:pStyle w:val="44"/>
              <w:widowControl w:val="0"/>
              <w:autoSpaceDE w:val="0"/>
              <w:autoSpaceDN w:val="0"/>
              <w:rPr>
                <w:color w:val="auto"/>
                <w:szCs w:val="21"/>
              </w:rPr>
            </w:pPr>
            <w:r>
              <w:rPr>
                <w:color w:val="auto"/>
                <w:szCs w:val="21"/>
              </w:rPr>
              <w:t>云南省昆明市滇中新区境内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0"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土地利用现状图幅号</w:t>
            </w:r>
          </w:p>
        </w:tc>
        <w:tc>
          <w:tcPr>
            <w:tcW w:w="7661" w:type="dxa"/>
            <w:gridSpan w:val="5"/>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bookmarkStart w:id="3" w:name="_Hlk145237770"/>
            <w:r>
              <w:rPr>
                <w:rFonts w:cs="Times New Roman"/>
                <w:sz w:val="21"/>
                <w:szCs w:val="21"/>
              </w:rPr>
              <w:t>G48H136030、G48H136031、G48H137030、G48H138029、G48H138030、G48H139029、G48H140029</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用地面积</w:t>
            </w:r>
          </w:p>
        </w:tc>
        <w:tc>
          <w:tcPr>
            <w:tcW w:w="7661" w:type="dxa"/>
            <w:gridSpan w:val="5"/>
            <w:vAlign w:val="center"/>
          </w:tcPr>
          <w:p>
            <w:pPr>
              <w:pStyle w:val="44"/>
              <w:widowControl w:val="0"/>
              <w:autoSpaceDE w:val="0"/>
              <w:autoSpaceDN w:val="0"/>
              <w:rPr>
                <w:color w:val="auto"/>
                <w:szCs w:val="21"/>
              </w:rPr>
            </w:pPr>
            <w:r>
              <w:rPr>
                <w:color w:val="auto"/>
                <w:szCs w:val="21"/>
              </w:rPr>
              <w:t>19.6810hm</w:t>
            </w:r>
            <w:r>
              <w:rPr>
                <w:color w:val="auto"/>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生产能力（或投资规模）</w:t>
            </w:r>
          </w:p>
        </w:tc>
        <w:tc>
          <w:tcPr>
            <w:tcW w:w="7661" w:type="dxa"/>
            <w:gridSpan w:val="5"/>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452.00万元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生产年限（或建设期限）</w:t>
            </w:r>
          </w:p>
        </w:tc>
        <w:tc>
          <w:tcPr>
            <w:tcW w:w="2654" w:type="dxa"/>
            <w:gridSpan w:val="2"/>
            <w:vAlign w:val="center"/>
          </w:tcPr>
          <w:p>
            <w:pPr>
              <w:pStyle w:val="44"/>
              <w:widowControl w:val="0"/>
              <w:autoSpaceDE w:val="0"/>
              <w:autoSpaceDN w:val="0"/>
              <w:rPr>
                <w:color w:val="auto"/>
                <w:szCs w:val="21"/>
              </w:rPr>
            </w:pPr>
            <w:r>
              <w:rPr>
                <w:color w:val="auto"/>
                <w:szCs w:val="21"/>
              </w:rPr>
              <w:t>2年（2023年12月-2025年11月）</w:t>
            </w:r>
          </w:p>
        </w:tc>
        <w:tc>
          <w:tcPr>
            <w:tcW w:w="2429" w:type="dxa"/>
            <w:gridSpan w:val="2"/>
            <w:vAlign w:val="center"/>
          </w:tcPr>
          <w:p>
            <w:pPr>
              <w:pStyle w:val="44"/>
              <w:widowControl w:val="0"/>
              <w:autoSpaceDE w:val="0"/>
              <w:autoSpaceDN w:val="0"/>
              <w:rPr>
                <w:color w:val="auto"/>
                <w:szCs w:val="21"/>
              </w:rPr>
            </w:pPr>
            <w:r>
              <w:rPr>
                <w:szCs w:val="21"/>
              </w:rPr>
              <w:t>土地复垦方案服务年限</w:t>
            </w:r>
          </w:p>
        </w:tc>
        <w:tc>
          <w:tcPr>
            <w:tcW w:w="2578" w:type="dxa"/>
            <w:vAlign w:val="center"/>
          </w:tcPr>
          <w:p>
            <w:pPr>
              <w:pStyle w:val="44"/>
              <w:widowControl w:val="0"/>
              <w:autoSpaceDE w:val="0"/>
              <w:autoSpaceDN w:val="0"/>
              <w:rPr>
                <w:color w:val="auto"/>
                <w:szCs w:val="21"/>
              </w:rPr>
            </w:pPr>
            <w:r>
              <w:rPr>
                <w:color w:val="auto"/>
                <w:szCs w:val="21"/>
              </w:rPr>
              <w:t>6年（2023年12月-2029年11月）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jc w:val="center"/>
        </w:trPr>
        <w:tc>
          <w:tcPr>
            <w:tcW w:w="816" w:type="dxa"/>
            <w:vMerge w:val="restart"/>
            <w:textDirection w:val="tbRlV"/>
            <w:vAlign w:val="center"/>
          </w:tcPr>
          <w:p>
            <w:pPr>
              <w:adjustRightInd/>
              <w:ind w:firstLine="420"/>
              <w:jc w:val="center"/>
              <w:rPr>
                <w:rFonts w:cs="Times New Roman"/>
                <w:b/>
                <w:sz w:val="21"/>
                <w:szCs w:val="21"/>
              </w:rPr>
            </w:pPr>
            <w:r>
              <w:rPr>
                <w:rFonts w:cs="Times New Roman"/>
                <w:color w:val="000000"/>
                <w:sz w:val="21"/>
                <w:szCs w:val="21"/>
              </w:rPr>
              <w:t>方案编制单位</w:t>
            </w: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编制单位名称</w:t>
            </w:r>
          </w:p>
        </w:tc>
        <w:tc>
          <w:tcPr>
            <w:tcW w:w="7661" w:type="dxa"/>
            <w:gridSpan w:val="5"/>
            <w:vAlign w:val="center"/>
          </w:tcPr>
          <w:p>
            <w:pPr>
              <w:pStyle w:val="44"/>
              <w:widowControl w:val="0"/>
              <w:autoSpaceDE w:val="0"/>
              <w:autoSpaceDN w:val="0"/>
              <w:rPr>
                <w:color w:val="auto"/>
                <w:szCs w:val="21"/>
              </w:rPr>
            </w:pPr>
            <w:r>
              <w:rPr>
                <w:color w:val="auto"/>
                <w:szCs w:val="21"/>
              </w:rPr>
              <w:t>昆明根苑土地技术咨询有限公司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7"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法人代表</w:t>
            </w:r>
          </w:p>
        </w:tc>
        <w:tc>
          <w:tcPr>
            <w:tcW w:w="7661" w:type="dxa"/>
            <w:gridSpan w:val="5"/>
            <w:vAlign w:val="center"/>
          </w:tcPr>
          <w:p>
            <w:pPr>
              <w:pStyle w:val="44"/>
              <w:widowControl w:val="0"/>
              <w:autoSpaceDE w:val="0"/>
              <w:autoSpaceDN w:val="0"/>
              <w:rPr>
                <w:color w:val="auto"/>
                <w:szCs w:val="21"/>
              </w:rPr>
            </w:pPr>
            <w:r>
              <w:rPr>
                <w:color w:val="auto"/>
                <w:szCs w:val="21"/>
              </w:rPr>
              <w:t>潘荣华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资质证书名称</w:t>
            </w:r>
          </w:p>
        </w:tc>
        <w:tc>
          <w:tcPr>
            <w:tcW w:w="2654" w:type="dxa"/>
            <w:gridSpan w:val="2"/>
            <w:vAlign w:val="center"/>
          </w:tcPr>
          <w:p>
            <w:pPr>
              <w:widowControl w:val="0"/>
              <w:autoSpaceDE w:val="0"/>
              <w:autoSpaceDN w:val="0"/>
              <w:spacing w:line="240" w:lineRule="auto"/>
              <w:ind w:firstLine="0" w:firstLineChars="0"/>
              <w:jc w:val="center"/>
              <w:rPr>
                <w:rFonts w:cs="Times New Roman"/>
                <w:sz w:val="21"/>
                <w:szCs w:val="21"/>
              </w:rPr>
            </w:pPr>
            <w:r>
              <w:rPr>
                <w:rFonts w:cs="Times New Roman"/>
                <w:sz w:val="21"/>
                <w:szCs w:val="21"/>
              </w:rPr>
              <w:t>土地规划机构等级证</w:t>
            </w:r>
          </w:p>
        </w:tc>
        <w:tc>
          <w:tcPr>
            <w:tcW w:w="2429" w:type="dxa"/>
            <w:gridSpan w:val="2"/>
            <w:vAlign w:val="center"/>
          </w:tcPr>
          <w:p>
            <w:pPr>
              <w:pStyle w:val="44"/>
              <w:widowControl w:val="0"/>
              <w:autoSpaceDE w:val="0"/>
              <w:autoSpaceDN w:val="0"/>
              <w:rPr>
                <w:color w:val="auto"/>
                <w:szCs w:val="21"/>
              </w:rPr>
            </w:pPr>
            <w:r>
              <w:rPr>
                <w:color w:val="auto"/>
                <w:szCs w:val="21"/>
              </w:rPr>
              <w:t>资质等级</w:t>
            </w:r>
          </w:p>
        </w:tc>
        <w:tc>
          <w:tcPr>
            <w:tcW w:w="2578" w:type="dxa"/>
            <w:vAlign w:val="center"/>
          </w:tcPr>
          <w:p>
            <w:pPr>
              <w:widowControl w:val="0"/>
              <w:autoSpaceDE w:val="0"/>
              <w:autoSpaceDN w:val="0"/>
              <w:spacing w:line="240" w:lineRule="auto"/>
              <w:ind w:firstLine="0" w:firstLineChars="0"/>
              <w:jc w:val="center"/>
              <w:rPr>
                <w:rFonts w:cs="Times New Roman"/>
                <w:sz w:val="21"/>
                <w:szCs w:val="21"/>
              </w:rPr>
            </w:pPr>
            <w:r>
              <w:rPr>
                <w:rFonts w:cs="Times New Roman"/>
                <w:sz w:val="21"/>
                <w:szCs w:val="21"/>
              </w:rPr>
              <w:t>甲级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发证机关</w:t>
            </w:r>
          </w:p>
        </w:tc>
        <w:tc>
          <w:tcPr>
            <w:tcW w:w="2654" w:type="dxa"/>
            <w:gridSpan w:val="2"/>
            <w:vAlign w:val="center"/>
          </w:tcPr>
          <w:p>
            <w:pPr>
              <w:widowControl w:val="0"/>
              <w:autoSpaceDE w:val="0"/>
              <w:autoSpaceDN w:val="0"/>
              <w:spacing w:line="240" w:lineRule="auto"/>
              <w:ind w:firstLine="0" w:firstLineChars="0"/>
              <w:jc w:val="center"/>
              <w:rPr>
                <w:rFonts w:cs="Times New Roman"/>
                <w:sz w:val="21"/>
                <w:szCs w:val="21"/>
              </w:rPr>
            </w:pPr>
            <w:r>
              <w:rPr>
                <w:rFonts w:cs="Times New Roman"/>
                <w:sz w:val="21"/>
                <w:szCs w:val="21"/>
              </w:rPr>
              <w:t>中国土地学会</w:t>
            </w:r>
          </w:p>
        </w:tc>
        <w:tc>
          <w:tcPr>
            <w:tcW w:w="2429" w:type="dxa"/>
            <w:gridSpan w:val="2"/>
            <w:vAlign w:val="center"/>
          </w:tcPr>
          <w:p>
            <w:pPr>
              <w:pStyle w:val="44"/>
              <w:widowControl w:val="0"/>
              <w:autoSpaceDE w:val="0"/>
              <w:autoSpaceDN w:val="0"/>
              <w:rPr>
                <w:color w:val="auto"/>
                <w:szCs w:val="21"/>
              </w:rPr>
            </w:pPr>
            <w:r>
              <w:rPr>
                <w:color w:val="auto"/>
                <w:szCs w:val="21"/>
              </w:rPr>
              <w:t>编号</w:t>
            </w:r>
          </w:p>
        </w:tc>
        <w:tc>
          <w:tcPr>
            <w:tcW w:w="2578" w:type="dxa"/>
            <w:vAlign w:val="center"/>
          </w:tcPr>
          <w:p>
            <w:pPr>
              <w:widowControl w:val="0"/>
              <w:autoSpaceDE w:val="0"/>
              <w:autoSpaceDN w:val="0"/>
              <w:spacing w:line="240" w:lineRule="auto"/>
              <w:ind w:firstLine="0" w:firstLineChars="0"/>
              <w:jc w:val="center"/>
              <w:rPr>
                <w:rFonts w:cs="Times New Roman"/>
                <w:sz w:val="21"/>
                <w:szCs w:val="21"/>
              </w:rPr>
            </w:pPr>
            <w:r>
              <w:rPr>
                <w:rFonts w:cs="Times New Roman"/>
                <w:sz w:val="21"/>
                <w:szCs w:val="21"/>
              </w:rPr>
              <w:t>087014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7"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236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联系人</w:t>
            </w:r>
          </w:p>
        </w:tc>
        <w:tc>
          <w:tcPr>
            <w:tcW w:w="2654" w:type="dxa"/>
            <w:gridSpan w:val="2"/>
            <w:vAlign w:val="center"/>
          </w:tcPr>
          <w:p>
            <w:pPr>
              <w:widowControl w:val="0"/>
              <w:autoSpaceDE w:val="0"/>
              <w:autoSpaceDN w:val="0"/>
              <w:spacing w:line="240" w:lineRule="auto"/>
              <w:ind w:firstLine="0" w:firstLineChars="0"/>
              <w:jc w:val="center"/>
              <w:rPr>
                <w:rFonts w:cs="Times New Roman"/>
                <w:sz w:val="21"/>
                <w:szCs w:val="21"/>
              </w:rPr>
            </w:pPr>
            <w:r>
              <w:rPr>
                <w:rFonts w:cs="Times New Roman"/>
                <w:sz w:val="21"/>
                <w:szCs w:val="21"/>
              </w:rPr>
              <w:t>刘雄</w:t>
            </w:r>
          </w:p>
        </w:tc>
        <w:tc>
          <w:tcPr>
            <w:tcW w:w="2429" w:type="dxa"/>
            <w:gridSpan w:val="2"/>
            <w:vAlign w:val="center"/>
          </w:tcPr>
          <w:p>
            <w:pPr>
              <w:pStyle w:val="44"/>
              <w:widowControl w:val="0"/>
              <w:autoSpaceDE w:val="0"/>
              <w:autoSpaceDN w:val="0"/>
              <w:rPr>
                <w:color w:val="auto"/>
                <w:szCs w:val="21"/>
              </w:rPr>
            </w:pPr>
            <w:r>
              <w:rPr>
                <w:color w:val="auto"/>
                <w:szCs w:val="21"/>
              </w:rPr>
              <w:t>联系电话</w:t>
            </w:r>
          </w:p>
        </w:tc>
        <w:tc>
          <w:tcPr>
            <w:tcW w:w="2578" w:type="dxa"/>
            <w:vAlign w:val="center"/>
          </w:tcPr>
          <w:p>
            <w:pPr>
              <w:widowControl w:val="0"/>
              <w:autoSpaceDE w:val="0"/>
              <w:autoSpaceDN w:val="0"/>
              <w:spacing w:line="240" w:lineRule="auto"/>
              <w:ind w:firstLine="0" w:firstLineChars="0"/>
              <w:jc w:val="center"/>
              <w:rPr>
                <w:rFonts w:cs="Times New Roman"/>
                <w:sz w:val="21"/>
                <w:szCs w:val="21"/>
              </w:rPr>
            </w:pPr>
            <w:r>
              <w:rPr>
                <w:rFonts w:cs="Times New Roman"/>
                <w:sz w:val="21"/>
                <w:szCs w:val="21"/>
              </w:rPr>
              <w:t>19988148186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10024" w:type="dxa"/>
            <w:gridSpan w:val="7"/>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主要编制人员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100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姓名</w:t>
            </w:r>
          </w:p>
        </w:tc>
        <w:tc>
          <w:tcPr>
            <w:tcW w:w="4011"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职务</w:t>
            </w:r>
          </w:p>
        </w:tc>
        <w:tc>
          <w:tcPr>
            <w:tcW w:w="5007"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100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陈俊</w:t>
            </w:r>
          </w:p>
        </w:tc>
        <w:tc>
          <w:tcPr>
            <w:tcW w:w="4011"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副总经理</w:t>
            </w:r>
          </w:p>
        </w:tc>
        <w:tc>
          <w:tcPr>
            <w:tcW w:w="5007"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高级工程师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100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陈进娥</w:t>
            </w:r>
          </w:p>
        </w:tc>
        <w:tc>
          <w:tcPr>
            <w:tcW w:w="4011"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副总经理</w:t>
            </w:r>
          </w:p>
        </w:tc>
        <w:tc>
          <w:tcPr>
            <w:tcW w:w="5007"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高级工程师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100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任兴蕊</w:t>
            </w:r>
          </w:p>
        </w:tc>
        <w:tc>
          <w:tcPr>
            <w:tcW w:w="4011"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副总经理</w:t>
            </w:r>
          </w:p>
        </w:tc>
        <w:tc>
          <w:tcPr>
            <w:tcW w:w="5007"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100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刘梦飞</w:t>
            </w:r>
          </w:p>
        </w:tc>
        <w:tc>
          <w:tcPr>
            <w:tcW w:w="4011" w:type="dxa"/>
            <w:gridSpan w:val="3"/>
            <w:vAlign w:val="center"/>
          </w:tcPr>
          <w:p>
            <w:pPr>
              <w:pStyle w:val="127"/>
              <w:widowControl w:val="0"/>
              <w:ind w:left="-120" w:leftChars="-50" w:right="-120" w:rightChars="-50"/>
              <w:jc w:val="center"/>
              <w:rPr>
                <w:rFonts w:eastAsia="仿宋_GB2312"/>
              </w:rPr>
            </w:pPr>
            <w:r>
              <w:rPr>
                <w:rFonts w:eastAsia="仿宋_GB2312"/>
              </w:rPr>
              <w:t>综合部整治部</w:t>
            </w:r>
          </w:p>
        </w:tc>
        <w:tc>
          <w:tcPr>
            <w:tcW w:w="5007"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100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刘雄</w:t>
            </w:r>
          </w:p>
        </w:tc>
        <w:tc>
          <w:tcPr>
            <w:tcW w:w="4011" w:type="dxa"/>
            <w:gridSpan w:val="3"/>
            <w:vAlign w:val="center"/>
          </w:tcPr>
          <w:p>
            <w:pPr>
              <w:pStyle w:val="127"/>
              <w:widowControl w:val="0"/>
              <w:ind w:left="-120" w:leftChars="-50" w:right="-120" w:rightChars="-50"/>
              <w:jc w:val="center"/>
              <w:rPr>
                <w:rFonts w:eastAsia="仿宋_GB2312"/>
              </w:rPr>
            </w:pPr>
            <w:r>
              <w:rPr>
                <w:rFonts w:eastAsia="仿宋_GB2312"/>
              </w:rPr>
              <w:t>综合部整治部</w:t>
            </w:r>
          </w:p>
        </w:tc>
        <w:tc>
          <w:tcPr>
            <w:tcW w:w="5007"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100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李荣林</w:t>
            </w:r>
          </w:p>
        </w:tc>
        <w:tc>
          <w:tcPr>
            <w:tcW w:w="4011" w:type="dxa"/>
            <w:gridSpan w:val="3"/>
            <w:vAlign w:val="center"/>
          </w:tcPr>
          <w:p>
            <w:pPr>
              <w:pStyle w:val="127"/>
              <w:widowControl w:val="0"/>
              <w:ind w:left="-120" w:leftChars="-50" w:right="-120" w:rightChars="-50"/>
              <w:jc w:val="center"/>
              <w:rPr>
                <w:rFonts w:eastAsia="仿宋_GB2312"/>
              </w:rPr>
            </w:pPr>
            <w:r>
              <w:rPr>
                <w:rFonts w:eastAsia="仿宋_GB2312"/>
              </w:rPr>
              <w:t>综合部整治部</w:t>
            </w:r>
          </w:p>
        </w:tc>
        <w:tc>
          <w:tcPr>
            <w:tcW w:w="5007"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100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朱家俊</w:t>
            </w:r>
          </w:p>
        </w:tc>
        <w:tc>
          <w:tcPr>
            <w:tcW w:w="4011" w:type="dxa"/>
            <w:gridSpan w:val="3"/>
            <w:vAlign w:val="center"/>
          </w:tcPr>
          <w:p>
            <w:pPr>
              <w:pStyle w:val="127"/>
              <w:widowControl w:val="0"/>
              <w:ind w:left="-120" w:leftChars="-50" w:right="-120" w:rightChars="-50"/>
              <w:jc w:val="center"/>
              <w:rPr>
                <w:rFonts w:eastAsia="仿宋_GB2312"/>
              </w:rPr>
            </w:pPr>
            <w:r>
              <w:rPr>
                <w:rFonts w:eastAsia="仿宋_GB2312"/>
              </w:rPr>
              <w:t>综合部整治部</w:t>
            </w:r>
          </w:p>
        </w:tc>
        <w:tc>
          <w:tcPr>
            <w:tcW w:w="5007"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100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陈鹏</w:t>
            </w:r>
          </w:p>
        </w:tc>
        <w:tc>
          <w:tcPr>
            <w:tcW w:w="4011" w:type="dxa"/>
            <w:gridSpan w:val="3"/>
            <w:vAlign w:val="center"/>
          </w:tcPr>
          <w:p>
            <w:pPr>
              <w:pStyle w:val="127"/>
              <w:widowControl w:val="0"/>
              <w:ind w:left="-120" w:leftChars="-50" w:right="-120" w:rightChars="-50"/>
              <w:jc w:val="center"/>
              <w:rPr>
                <w:rFonts w:eastAsia="仿宋_GB2312"/>
              </w:rPr>
            </w:pPr>
            <w:r>
              <w:rPr>
                <w:rFonts w:eastAsia="仿宋_GB2312"/>
              </w:rPr>
              <w:t>综合部整治部</w:t>
            </w:r>
          </w:p>
        </w:tc>
        <w:tc>
          <w:tcPr>
            <w:tcW w:w="5007"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100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陈红</w:t>
            </w:r>
          </w:p>
        </w:tc>
        <w:tc>
          <w:tcPr>
            <w:tcW w:w="4011" w:type="dxa"/>
            <w:gridSpan w:val="3"/>
            <w:vAlign w:val="center"/>
          </w:tcPr>
          <w:p>
            <w:pPr>
              <w:pStyle w:val="127"/>
              <w:widowControl w:val="0"/>
              <w:ind w:left="-120" w:leftChars="-50" w:right="-120" w:rightChars="-50"/>
              <w:jc w:val="center"/>
              <w:rPr>
                <w:rFonts w:eastAsia="仿宋_GB2312"/>
              </w:rPr>
            </w:pPr>
            <w:r>
              <w:rPr>
                <w:rFonts w:eastAsia="仿宋_GB2312"/>
              </w:rPr>
              <w:t>综合部整治部</w:t>
            </w:r>
          </w:p>
        </w:tc>
        <w:tc>
          <w:tcPr>
            <w:tcW w:w="5007"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816" w:type="dxa"/>
            <w:vMerge w:val="continue"/>
            <w:vAlign w:val="center"/>
          </w:tcPr>
          <w:p>
            <w:pPr>
              <w:snapToGrid w:val="0"/>
              <w:ind w:left="-120" w:leftChars="-50" w:right="-120" w:rightChars="-50" w:firstLine="422"/>
              <w:jc w:val="center"/>
              <w:rPr>
                <w:rFonts w:cs="Times New Roman"/>
                <w:b/>
                <w:sz w:val="21"/>
                <w:szCs w:val="21"/>
              </w:rPr>
            </w:pPr>
          </w:p>
        </w:tc>
        <w:tc>
          <w:tcPr>
            <w:tcW w:w="100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高晓迪</w:t>
            </w:r>
          </w:p>
        </w:tc>
        <w:tc>
          <w:tcPr>
            <w:tcW w:w="4011" w:type="dxa"/>
            <w:gridSpan w:val="3"/>
            <w:vAlign w:val="center"/>
          </w:tcPr>
          <w:p>
            <w:pPr>
              <w:pStyle w:val="127"/>
              <w:widowControl w:val="0"/>
              <w:ind w:left="-120" w:leftChars="-50" w:right="-120" w:rightChars="-50"/>
              <w:jc w:val="center"/>
              <w:rPr>
                <w:rFonts w:eastAsia="仿宋_GB2312"/>
              </w:rPr>
            </w:pPr>
            <w:r>
              <w:rPr>
                <w:rFonts w:eastAsia="仿宋_GB2312"/>
              </w:rPr>
              <w:t>综合部整治部</w:t>
            </w:r>
          </w:p>
        </w:tc>
        <w:tc>
          <w:tcPr>
            <w:tcW w:w="5007"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工程师</w:t>
            </w:r>
          </w:p>
        </w:tc>
      </w:tr>
    </w:tbl>
    <w:p>
      <w:pPr>
        <w:widowControl w:val="0"/>
        <w:autoSpaceDE w:val="0"/>
        <w:autoSpaceDN w:val="0"/>
        <w:spacing w:line="240" w:lineRule="auto"/>
        <w:ind w:left="-120" w:leftChars="-50" w:right="-120" w:rightChars="-50" w:firstLine="0" w:firstLineChars="0"/>
        <w:jc w:val="center"/>
        <w:rPr>
          <w:rFonts w:cs="Times New Roman"/>
        </w:rPr>
      </w:pPr>
    </w:p>
    <w:p>
      <w:pPr>
        <w:widowControl w:val="0"/>
        <w:autoSpaceDE w:val="0"/>
        <w:autoSpaceDN w:val="0"/>
        <w:spacing w:line="240" w:lineRule="auto"/>
        <w:ind w:left="-120" w:leftChars="-50" w:right="-120" w:rightChars="-50" w:firstLine="0" w:firstLineChars="0"/>
        <w:jc w:val="center"/>
        <w:rPr>
          <w:rFonts w:cs="Times New Roman"/>
        </w:rPr>
      </w:pPr>
    </w:p>
    <w:p>
      <w:pPr>
        <w:widowControl w:val="0"/>
        <w:autoSpaceDE w:val="0"/>
        <w:autoSpaceDN w:val="0"/>
        <w:spacing w:line="240" w:lineRule="auto"/>
        <w:ind w:left="-120" w:leftChars="-50" w:right="-120" w:rightChars="-50" w:firstLine="0" w:firstLineChars="0"/>
        <w:jc w:val="center"/>
        <w:rPr>
          <w:rFonts w:cs="Times New Roman"/>
        </w:rPr>
      </w:pPr>
    </w:p>
    <w:tbl>
      <w:tblPr>
        <w:tblStyle w:val="26"/>
        <w:tblW w:w="108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6"/>
        <w:gridCol w:w="2508"/>
        <w:gridCol w:w="137"/>
        <w:gridCol w:w="1125"/>
        <w:gridCol w:w="1351"/>
        <w:gridCol w:w="154"/>
        <w:gridCol w:w="1260"/>
        <w:gridCol w:w="1125"/>
        <w:gridCol w:w="568"/>
        <w:gridCol w:w="1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776" w:type="dxa"/>
            <w:vMerge w:val="restart"/>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复垦区土地利用现状</w:t>
            </w:r>
          </w:p>
        </w:tc>
        <w:tc>
          <w:tcPr>
            <w:tcW w:w="3770"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土地类型</w:t>
            </w:r>
          </w:p>
        </w:tc>
        <w:tc>
          <w:tcPr>
            <w:tcW w:w="6294" w:type="dxa"/>
            <w:gridSpan w:val="6"/>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　面积（</w:t>
            </w:r>
            <w:r>
              <w:rPr>
                <w:rFonts w:cs="Times New Roman"/>
                <w:sz w:val="21"/>
                <w:szCs w:val="21"/>
              </w:rPr>
              <w:t>hm</w:t>
            </w:r>
            <w:r>
              <w:rPr>
                <w:rFonts w:cs="Times New Roman"/>
                <w:sz w:val="21"/>
                <w:szCs w:val="21"/>
                <w:vertAlign w:val="superscript"/>
              </w:rPr>
              <w:t>2</w:t>
            </w:r>
            <w:r>
              <w:rPr>
                <w:rFonts w:hint="eastAsia" w:cs="Times New Roman"/>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一级地类</w:t>
            </w: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二级地类</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小计</w:t>
            </w:r>
          </w:p>
        </w:tc>
        <w:tc>
          <w:tcPr>
            <w:tcW w:w="141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已损毁</w:t>
            </w:r>
          </w:p>
        </w:tc>
        <w:tc>
          <w:tcPr>
            <w:tcW w:w="169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拟损毁</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占用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Merge w:val="restart"/>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耕地</w:t>
            </w: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水浇地</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41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69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旱地</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41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69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园地</w:t>
            </w: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果园</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41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69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Merge w:val="restart"/>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　林地</w:t>
            </w: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乔木林地</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41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69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灌木林地</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41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69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其他林地</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41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69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草地</w:t>
            </w: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其他草地</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41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69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交通运输用地</w:t>
            </w: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农村道路</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41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69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水域及水利设施用地</w:t>
            </w: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沟渠</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41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69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8"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Merge w:val="restart"/>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其他土地</w:t>
            </w: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设施农用地</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41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69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田坎</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41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69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3770"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合计</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19.6810</w:t>
            </w:r>
          </w:p>
        </w:tc>
        <w:tc>
          <w:tcPr>
            <w:tcW w:w="141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r>
              <w:rPr>
                <w:rFonts w:hint="eastAsia" w:cs="Times New Roman"/>
                <w:sz w:val="21"/>
                <w:szCs w:val="21"/>
              </w:rPr>
              <w:t>　</w:t>
            </w:r>
          </w:p>
        </w:tc>
        <w:tc>
          <w:tcPr>
            <w:tcW w:w="1693"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19.6810</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776" w:type="dxa"/>
            <w:vMerge w:val="restart"/>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复垦责任范围内损毁及占用面积</w:t>
            </w:r>
          </w:p>
        </w:tc>
        <w:tc>
          <w:tcPr>
            <w:tcW w:w="3770" w:type="dxa"/>
            <w:gridSpan w:val="3"/>
            <w:vMerge w:val="restart"/>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类型</w:t>
            </w:r>
          </w:p>
        </w:tc>
        <w:tc>
          <w:tcPr>
            <w:tcW w:w="6294" w:type="dxa"/>
            <w:gridSpan w:val="6"/>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面积</w:t>
            </w:r>
            <w:r>
              <w:rPr>
                <w:rFonts w:cs="Times New Roman"/>
                <w:sz w:val="21"/>
                <w:szCs w:val="21"/>
              </w:rPr>
              <w:t>(hm</w:t>
            </w:r>
            <w:r>
              <w:rPr>
                <w:rFonts w:cs="Times New Roman"/>
                <w:sz w:val="21"/>
                <w:szCs w:val="21"/>
                <w:vertAlign w:val="superscript"/>
              </w:rPr>
              <w:t>2</w:t>
            </w: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3770" w:type="dxa"/>
            <w:gridSpan w:val="3"/>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小计</w:t>
            </w:r>
          </w:p>
        </w:tc>
        <w:tc>
          <w:tcPr>
            <w:tcW w:w="3107" w:type="dxa"/>
            <w:gridSpan w:val="4"/>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已损毁或占用</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拟损毁或占用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Merge w:val="restart"/>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损毁</w:t>
            </w: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塌陷</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3107" w:type="dxa"/>
            <w:gridSpan w:val="4"/>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压占</w:t>
            </w:r>
          </w:p>
        </w:tc>
        <w:tc>
          <w:tcPr>
            <w:tcW w:w="1351" w:type="dxa"/>
            <w:noWrap/>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2.7059</w:t>
            </w:r>
          </w:p>
        </w:tc>
        <w:tc>
          <w:tcPr>
            <w:tcW w:w="3107" w:type="dxa"/>
            <w:gridSpan w:val="4"/>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noWrap/>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2.7059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挖损</w:t>
            </w:r>
          </w:p>
        </w:tc>
        <w:tc>
          <w:tcPr>
            <w:tcW w:w="1351" w:type="dxa"/>
            <w:noWrap/>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16.9751</w:t>
            </w:r>
          </w:p>
        </w:tc>
        <w:tc>
          <w:tcPr>
            <w:tcW w:w="3107" w:type="dxa"/>
            <w:gridSpan w:val="4"/>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noWrap/>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16.9751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小计</w:t>
            </w:r>
          </w:p>
        </w:tc>
        <w:tc>
          <w:tcPr>
            <w:tcW w:w="1351" w:type="dxa"/>
            <w:noWrap/>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19.6810</w:t>
            </w:r>
          </w:p>
        </w:tc>
        <w:tc>
          <w:tcPr>
            <w:tcW w:w="3107" w:type="dxa"/>
            <w:gridSpan w:val="4"/>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noWrap/>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19.6810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3770"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占用</w:t>
            </w:r>
          </w:p>
        </w:tc>
        <w:tc>
          <w:tcPr>
            <w:tcW w:w="1351"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3107" w:type="dxa"/>
            <w:gridSpan w:val="4"/>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1836"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3770"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合计</w:t>
            </w:r>
          </w:p>
        </w:tc>
        <w:tc>
          <w:tcPr>
            <w:tcW w:w="1351" w:type="dxa"/>
            <w:noWrap/>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19.6810</w:t>
            </w:r>
          </w:p>
        </w:tc>
        <w:tc>
          <w:tcPr>
            <w:tcW w:w="3107" w:type="dxa"/>
            <w:gridSpan w:val="4"/>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r>
              <w:rPr>
                <w:rFonts w:hint="eastAsia" w:cs="Times New Roman"/>
                <w:sz w:val="21"/>
                <w:szCs w:val="21"/>
              </w:rPr>
              <w:t>　</w:t>
            </w:r>
          </w:p>
        </w:tc>
        <w:tc>
          <w:tcPr>
            <w:tcW w:w="1836" w:type="dxa"/>
            <w:noWrap/>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19.6810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776" w:type="dxa"/>
            <w:vMerge w:val="restart"/>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复垦土地面积</w:t>
            </w:r>
          </w:p>
        </w:tc>
        <w:tc>
          <w:tcPr>
            <w:tcW w:w="2508"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一级地类</w:t>
            </w: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二级地类</w:t>
            </w:r>
          </w:p>
        </w:tc>
        <w:tc>
          <w:tcPr>
            <w:tcW w:w="2765"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已复垦</w:t>
            </w:r>
          </w:p>
        </w:tc>
        <w:tc>
          <w:tcPr>
            <w:tcW w:w="3529"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拟复垦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Merge w:val="restart"/>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耕地</w:t>
            </w: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水浇地</w:t>
            </w:r>
          </w:p>
        </w:tc>
        <w:tc>
          <w:tcPr>
            <w:tcW w:w="2765"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3529"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1.3122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旱地</w:t>
            </w:r>
          </w:p>
        </w:tc>
        <w:tc>
          <w:tcPr>
            <w:tcW w:w="2765"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3529" w:type="dxa"/>
            <w:gridSpan w:val="3"/>
            <w:noWrap/>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5.1917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2"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园地</w:t>
            </w: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果园</w:t>
            </w:r>
          </w:p>
        </w:tc>
        <w:tc>
          <w:tcPr>
            <w:tcW w:w="2765"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3529"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1.3749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林地</w:t>
            </w: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乔木林地</w:t>
            </w:r>
          </w:p>
        </w:tc>
        <w:tc>
          <w:tcPr>
            <w:tcW w:w="2765"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3529"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10.7162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508" w:type="dxa"/>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其他土地</w:t>
            </w:r>
          </w:p>
        </w:tc>
        <w:tc>
          <w:tcPr>
            <w:tcW w:w="1262"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田坎</w:t>
            </w:r>
          </w:p>
        </w:tc>
        <w:tc>
          <w:tcPr>
            <w:tcW w:w="2765"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3529"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0.2745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3770"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合计</w:t>
            </w:r>
          </w:p>
        </w:tc>
        <w:tc>
          <w:tcPr>
            <w:tcW w:w="2765"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w:t>
            </w:r>
          </w:p>
        </w:tc>
        <w:tc>
          <w:tcPr>
            <w:tcW w:w="3529"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18.8695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6535" w:type="dxa"/>
            <w:gridSpan w:val="6"/>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保留沟渠、农村道路</w:t>
            </w:r>
          </w:p>
        </w:tc>
        <w:tc>
          <w:tcPr>
            <w:tcW w:w="3529"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0.8115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7"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6535" w:type="dxa"/>
            <w:gridSpan w:val="6"/>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土地复垦率</w:t>
            </w:r>
          </w:p>
        </w:tc>
        <w:tc>
          <w:tcPr>
            <w:tcW w:w="3529"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95.88%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7" w:hRule="atLeast"/>
        </w:trPr>
        <w:tc>
          <w:tcPr>
            <w:tcW w:w="776" w:type="dxa"/>
            <w:vMerge w:val="restart"/>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投资情况</w:t>
            </w:r>
          </w:p>
        </w:tc>
        <w:tc>
          <w:tcPr>
            <w:tcW w:w="5275" w:type="dxa"/>
            <w:gridSpan w:val="5"/>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总投资（万元）</w:t>
            </w:r>
          </w:p>
        </w:tc>
        <w:tc>
          <w:tcPr>
            <w:tcW w:w="4789" w:type="dxa"/>
            <w:gridSpan w:val="4"/>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亩均投资（元</w:t>
            </w:r>
            <w:r>
              <w:rPr>
                <w:rFonts w:cs="Times New Roman"/>
                <w:sz w:val="21"/>
                <w:szCs w:val="21"/>
              </w:rPr>
              <w:t>/</w:t>
            </w:r>
            <w:r>
              <w:rPr>
                <w:rFonts w:hint="eastAsia" w:cs="Times New Roman"/>
                <w:sz w:val="21"/>
                <w:szCs w:val="21"/>
              </w:rPr>
              <w:t>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7"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645"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静态总投资</w:t>
            </w:r>
          </w:p>
        </w:tc>
        <w:tc>
          <w:tcPr>
            <w:tcW w:w="2630"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398.81</w:t>
            </w:r>
          </w:p>
        </w:tc>
        <w:tc>
          <w:tcPr>
            <w:tcW w:w="2385"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亩均静态投资</w:t>
            </w:r>
          </w:p>
        </w:tc>
        <w:tc>
          <w:tcPr>
            <w:tcW w:w="240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1.35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7" w:hRule="atLeast"/>
        </w:trPr>
        <w:tc>
          <w:tcPr>
            <w:tcW w:w="776" w:type="dxa"/>
            <w:vMerge w:val="continue"/>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p>
        </w:tc>
        <w:tc>
          <w:tcPr>
            <w:tcW w:w="2645"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动态总投资</w:t>
            </w:r>
          </w:p>
        </w:tc>
        <w:tc>
          <w:tcPr>
            <w:tcW w:w="2630" w:type="dxa"/>
            <w:gridSpan w:val="3"/>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452.00</w:t>
            </w:r>
          </w:p>
        </w:tc>
        <w:tc>
          <w:tcPr>
            <w:tcW w:w="2385"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hint="eastAsia" w:cs="Times New Roman"/>
                <w:sz w:val="21"/>
                <w:szCs w:val="21"/>
              </w:rPr>
              <w:t>亩均动态投资</w:t>
            </w:r>
          </w:p>
        </w:tc>
        <w:tc>
          <w:tcPr>
            <w:tcW w:w="2404" w:type="dxa"/>
            <w:gridSpan w:val="2"/>
            <w:vAlign w:val="center"/>
          </w:tcPr>
          <w:p>
            <w:pPr>
              <w:widowControl w:val="0"/>
              <w:autoSpaceDE w:val="0"/>
              <w:autoSpaceDN w:val="0"/>
              <w:spacing w:line="240" w:lineRule="auto"/>
              <w:ind w:left="-120" w:leftChars="-50" w:right="-120" w:rightChars="-50" w:firstLine="0" w:firstLineChars="0"/>
              <w:jc w:val="center"/>
              <w:rPr>
                <w:rFonts w:cs="Times New Roman"/>
                <w:sz w:val="21"/>
                <w:szCs w:val="21"/>
              </w:rPr>
            </w:pPr>
            <w:r>
              <w:rPr>
                <w:rFonts w:cs="Times New Roman"/>
                <w:sz w:val="21"/>
                <w:szCs w:val="21"/>
              </w:rPr>
              <w:t>1.53</w:t>
            </w:r>
          </w:p>
        </w:tc>
      </w:tr>
    </w:tbl>
    <w:p>
      <w:pPr>
        <w:widowControl w:val="0"/>
        <w:autoSpaceDE w:val="0"/>
        <w:autoSpaceDN w:val="0"/>
        <w:spacing w:line="240" w:lineRule="auto"/>
        <w:ind w:left="-120" w:leftChars="-50" w:right="-120" w:rightChars="-50" w:firstLine="0" w:firstLineChars="0"/>
        <w:jc w:val="center"/>
        <w:rPr>
          <w:rFonts w:cs="Times New Roman"/>
        </w:rPr>
      </w:pPr>
    </w:p>
    <w:p>
      <w:pPr>
        <w:pStyle w:val="8"/>
        <w:kinsoku w:val="0"/>
        <w:overflowPunct w:val="0"/>
        <w:spacing w:before="26"/>
        <w:ind w:left="1920" w:right="114"/>
        <w:jc w:val="right"/>
        <w:rPr>
          <w:b/>
          <w:bCs/>
        </w:rPr>
      </w:pPr>
    </w:p>
    <w:p>
      <w:pPr>
        <w:pStyle w:val="8"/>
        <w:kinsoku w:val="0"/>
        <w:overflowPunct w:val="0"/>
        <w:spacing w:before="26"/>
        <w:ind w:left="1920" w:right="114"/>
        <w:jc w:val="right"/>
        <w:rPr>
          <w:b/>
          <w:bCs/>
        </w:rPr>
      </w:pPr>
    </w:p>
    <w:p>
      <w:pPr>
        <w:pStyle w:val="8"/>
        <w:kinsoku w:val="0"/>
        <w:overflowPunct w:val="0"/>
        <w:spacing w:before="26"/>
        <w:ind w:left="1922" w:right="113"/>
        <w:jc w:val="right"/>
        <w:rPr>
          <w:b/>
          <w:bCs/>
        </w:rPr>
      </w:pPr>
    </w:p>
    <w:p>
      <w:pPr>
        <w:pStyle w:val="8"/>
        <w:kinsoku w:val="0"/>
        <w:overflowPunct w:val="0"/>
        <w:spacing w:before="26"/>
        <w:ind w:left="1920" w:right="114"/>
        <w:jc w:val="right"/>
        <w:rPr>
          <w:b/>
          <w:bCs/>
        </w:rPr>
        <w:sectPr>
          <w:headerReference r:id="rId10" w:type="default"/>
          <w:pgSz w:w="11910" w:h="16840"/>
          <w:pgMar w:top="1040" w:right="460" w:bottom="280" w:left="580" w:header="858" w:footer="0" w:gutter="0"/>
          <w:pgNumType w:start="1"/>
          <w:cols w:space="720" w:num="1"/>
        </w:sectPr>
      </w:pPr>
    </w:p>
    <w:tbl>
      <w:tblPr>
        <w:tblStyle w:val="26"/>
        <w:tblW w:w="10536" w:type="dxa"/>
        <w:tblInd w:w="109" w:type="dxa"/>
        <w:tblLayout w:type="fixed"/>
        <w:tblCellMar>
          <w:top w:w="0" w:type="dxa"/>
          <w:left w:w="0" w:type="dxa"/>
          <w:bottom w:w="0" w:type="dxa"/>
          <w:right w:w="0" w:type="dxa"/>
        </w:tblCellMar>
      </w:tblPr>
      <w:tblGrid>
        <w:gridCol w:w="595"/>
        <w:gridCol w:w="9941"/>
      </w:tblGrid>
      <w:tr>
        <w:tblPrEx>
          <w:tblLayout w:type="fixed"/>
          <w:tblCellMar>
            <w:top w:w="0" w:type="dxa"/>
            <w:left w:w="0" w:type="dxa"/>
            <w:bottom w:w="0" w:type="dxa"/>
            <w:right w:w="0" w:type="dxa"/>
          </w:tblCellMar>
        </w:tblPrEx>
        <w:trPr>
          <w:trHeight w:val="14434" w:hRule="exact"/>
        </w:trPr>
        <w:tc>
          <w:tcPr>
            <w:tcW w:w="595" w:type="dxa"/>
            <w:tcBorders>
              <w:top w:val="single" w:color="000000" w:sz="4" w:space="0"/>
              <w:left w:val="single" w:color="000000" w:sz="4" w:space="0"/>
              <w:bottom w:val="single" w:color="000000" w:sz="4" w:space="0"/>
              <w:right w:val="single" w:color="000000" w:sz="4" w:space="0"/>
            </w:tcBorders>
          </w:tcPr>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r>
              <w:rPr>
                <w:rFonts w:eastAsia="仿宋_GB2312"/>
                <w:kern w:val="0"/>
                <w:szCs w:val="21"/>
                <w:lang w:val="en-US" w:bidi="ar-SA"/>
              </w:rPr>
              <w:t>工作计划及主要措施</w:t>
            </w:r>
          </w:p>
        </w:tc>
        <w:tc>
          <w:tcPr>
            <w:tcW w:w="9941" w:type="dxa"/>
            <w:tcBorders>
              <w:top w:val="single" w:color="000000" w:sz="4" w:space="0"/>
              <w:left w:val="single" w:color="000000" w:sz="4" w:space="0"/>
              <w:bottom w:val="single" w:color="000000" w:sz="4" w:space="0"/>
              <w:right w:val="single" w:color="000000" w:sz="4" w:space="0"/>
            </w:tcBorders>
          </w:tcPr>
          <w:p>
            <w:pPr>
              <w:pStyle w:val="114"/>
              <w:kinsoku w:val="0"/>
              <w:overflowPunct w:val="0"/>
              <w:autoSpaceDE w:val="0"/>
              <w:autoSpaceDN w:val="0"/>
              <w:adjustRightInd w:val="0"/>
              <w:jc w:val="left"/>
              <w:rPr>
                <w:rFonts w:eastAsia="仿宋_GB2312"/>
                <w:kern w:val="0"/>
                <w:szCs w:val="21"/>
                <w:lang w:val="en-US" w:bidi="ar-SA"/>
              </w:rPr>
            </w:pPr>
            <w:r>
              <w:rPr>
                <w:rFonts w:eastAsia="仿宋_GB2312"/>
                <w:kern w:val="0"/>
                <w:szCs w:val="21"/>
                <w:lang w:val="en-US" w:bidi="ar-SA"/>
              </w:rPr>
              <w:t>一、土地复垦工作计划</w:t>
            </w:r>
          </w:p>
          <w:p>
            <w:pPr>
              <w:pStyle w:val="124"/>
              <w:spacing w:line="440" w:lineRule="exact"/>
              <w:ind w:firstLine="420"/>
              <w:jc w:val="both"/>
              <w:rPr>
                <w:kern w:val="2"/>
                <w:sz w:val="21"/>
                <w:lang w:bidi="ar-SA"/>
              </w:rPr>
            </w:pPr>
            <w:r>
              <w:rPr>
                <w:kern w:val="2"/>
                <w:sz w:val="21"/>
                <w:lang w:bidi="ar-SA"/>
              </w:rPr>
              <w:t>本项目对于损毁区域复垦设计复垦为耕地的区域，在同等条件下必须先对该部分区进行复垦。本方案设计2026年12月-2026年11为项目复垦工程施工年限。具体土地复垦工作年度计划如下所述：</w:t>
            </w:r>
          </w:p>
          <w:p>
            <w:pPr>
              <w:pStyle w:val="124"/>
              <w:spacing w:line="440" w:lineRule="exact"/>
              <w:ind w:firstLine="420"/>
              <w:jc w:val="both"/>
              <w:rPr>
                <w:kern w:val="2"/>
                <w:sz w:val="21"/>
                <w:lang w:bidi="ar-SA"/>
              </w:rPr>
            </w:pPr>
            <w:r>
              <w:rPr>
                <w:kern w:val="2"/>
                <w:sz w:val="21"/>
                <w:lang w:bidi="ar-SA"/>
              </w:rPr>
              <w:t>第一年度（2023年12月至2024年11月）：该年度为建设项目的建设期，主要复垦工作内容为对本项目损毁的土地面积进行表土剥离及修建表土堆场措施，并对各功能分区进行实时的监测，做好监测记录，对土地损毁土地情况进行详细的统计分析，确保项目能够顺利地进行。其工作量主要为表土剥离59981.45m³，本年度静态投资97.7万元，动态投资97.7万元。</w:t>
            </w:r>
          </w:p>
          <w:p>
            <w:pPr>
              <w:pStyle w:val="124"/>
              <w:spacing w:line="440" w:lineRule="exact"/>
              <w:ind w:firstLine="420"/>
              <w:jc w:val="both"/>
              <w:rPr>
                <w:kern w:val="2"/>
                <w:sz w:val="21"/>
                <w:lang w:bidi="ar-SA"/>
              </w:rPr>
            </w:pPr>
            <w:r>
              <w:rPr>
                <w:kern w:val="2"/>
                <w:sz w:val="21"/>
                <w:lang w:bidi="ar-SA"/>
              </w:rPr>
              <w:t>第二年度（2024年12月至2025年11月）：该年度为建设项目的建设期，主要复垦工作内容为对本项目损毁的土地面积进行前期工作建设（土地清查、项目勘测、项目勘察等）并实时的监测，做好监测记录，对土地损毁情况进行详细的统计分析，确保项目能够顺利地进行。本年度静态投资20.3万元，动态投资21.72万元。</w:t>
            </w:r>
          </w:p>
          <w:p>
            <w:pPr>
              <w:pStyle w:val="124"/>
              <w:spacing w:line="440" w:lineRule="exact"/>
              <w:ind w:firstLine="420"/>
              <w:jc w:val="both"/>
              <w:rPr>
                <w:kern w:val="2"/>
                <w:sz w:val="21"/>
                <w:lang w:bidi="ar-SA"/>
              </w:rPr>
            </w:pPr>
            <w:r>
              <w:rPr>
                <w:kern w:val="2"/>
                <w:sz w:val="21"/>
                <w:lang w:bidi="ar-SA"/>
              </w:rPr>
              <w:t>第三年度（2025年12月至2026年11月）：该年度为建设项目的复垦期，主要复垦工作内容为对本项目损毁的土地面积进行全面复垦工作，原则上设计前半年要完成损毁区域包括为耕地区域的复垦工作。其工作量主要为覆土54448.74m³，土地平整67784m²，土地翻耕1.9588hm²，土壤培肥（商品有机肥））6.5039hm²，绿肥6.5039hm²，种植旱冬瓜13395株，种植云南松13395株，撒播草籽（狗牙根）10.7162hm²，种植桃树1141株，修建25m³水窖9座，沟渠修复227.00m，道路修复2439m。本年度静态投资214.87万元，动态投资246.00万元。</w:t>
            </w:r>
          </w:p>
          <w:p>
            <w:pPr>
              <w:pStyle w:val="124"/>
              <w:spacing w:line="440" w:lineRule="exact"/>
              <w:ind w:firstLine="420"/>
              <w:jc w:val="both"/>
              <w:rPr>
                <w:rFonts w:ascii="仿宋_GB2312"/>
                <w:kern w:val="2"/>
                <w:sz w:val="21"/>
                <w:lang w:bidi="ar-SA"/>
              </w:rPr>
            </w:pPr>
            <w:r>
              <w:rPr>
                <w:rFonts w:hint="eastAsia" w:ascii="仿宋_GB2312"/>
                <w:kern w:val="2"/>
                <w:sz w:val="21"/>
                <w:lang w:bidi="ar-SA"/>
              </w:rPr>
              <w:t>第四年度（2026年12月至2027年11月）：该年度为建设项目的复垦监测管护期，主要复垦工作内容为对本项目损毁的土地面积进行全面复垦后的监测工作，</w:t>
            </w:r>
            <w:r>
              <w:rPr>
                <w:rFonts w:hint="eastAsia" w:ascii="仿宋_GB2312"/>
                <w:sz w:val="21"/>
              </w:rPr>
              <w:t>对复垦耕地区域进行定期浇水、培土等措施，对</w:t>
            </w:r>
            <w:r>
              <w:rPr>
                <w:rFonts w:hint="eastAsia" w:ascii="仿宋_GB2312"/>
                <w:kern w:val="2"/>
                <w:sz w:val="21"/>
                <w:lang w:bidi="ar-SA"/>
              </w:rPr>
              <w:t>林地、园地区域进行补植。本年度静态投资21.98万元，动态投资26.93万元。</w:t>
            </w:r>
          </w:p>
          <w:p>
            <w:pPr>
              <w:pStyle w:val="124"/>
              <w:spacing w:line="440" w:lineRule="exact"/>
              <w:ind w:firstLine="420"/>
              <w:jc w:val="both"/>
              <w:rPr>
                <w:rFonts w:ascii="仿宋_GB2312"/>
                <w:kern w:val="2"/>
                <w:sz w:val="21"/>
                <w:lang w:bidi="ar-SA"/>
              </w:rPr>
            </w:pPr>
            <w:r>
              <w:rPr>
                <w:rFonts w:hint="eastAsia" w:ascii="仿宋_GB2312"/>
                <w:kern w:val="2"/>
                <w:sz w:val="21"/>
                <w:lang w:bidi="ar-SA"/>
              </w:rPr>
              <w:t>第五年度（2027年12月至2028年11月）：该年度为建设项目的复垦监测管护期，主要复垦工作内容为对本项目损毁的土地面积进行全面复垦后的监测工作，</w:t>
            </w:r>
            <w:r>
              <w:rPr>
                <w:rFonts w:hint="eastAsia" w:ascii="仿宋_GB2312"/>
                <w:sz w:val="21"/>
              </w:rPr>
              <w:t>对复垦耕地区域进行定期浇水、培土等措施，对</w:t>
            </w:r>
            <w:r>
              <w:rPr>
                <w:rFonts w:hint="eastAsia" w:ascii="仿宋_GB2312"/>
                <w:kern w:val="2"/>
                <w:sz w:val="21"/>
                <w:lang w:bidi="ar-SA"/>
              </w:rPr>
              <w:t>林地、园地区域进行补植。本年度静态投资21.98万元，动态投资28.82万元。</w:t>
            </w:r>
          </w:p>
          <w:p>
            <w:pPr>
              <w:pStyle w:val="124"/>
              <w:spacing w:line="440" w:lineRule="exact"/>
              <w:ind w:firstLine="420"/>
              <w:jc w:val="both"/>
              <w:rPr>
                <w:sz w:val="21"/>
                <w:lang w:bidi="ar-SA"/>
              </w:rPr>
            </w:pPr>
            <w:r>
              <w:rPr>
                <w:rFonts w:hint="eastAsia" w:ascii="仿宋_GB2312"/>
                <w:kern w:val="2"/>
                <w:sz w:val="21"/>
                <w:lang w:bidi="ar-SA"/>
              </w:rPr>
              <w:t>第六年度（2028年12月至2029年11月）：该年度为建设项目的复垦监测管护期，主要复垦工作内容为对本项目损毁的土地面积进行全面复垦后的监测工作，</w:t>
            </w:r>
            <w:r>
              <w:rPr>
                <w:rFonts w:hint="eastAsia" w:ascii="仿宋_GB2312"/>
                <w:sz w:val="21"/>
              </w:rPr>
              <w:t>对复垦耕地区域进行定期浇水、培土等措施，对</w:t>
            </w:r>
            <w:r>
              <w:rPr>
                <w:rFonts w:hint="eastAsia" w:ascii="仿宋_GB2312"/>
                <w:kern w:val="2"/>
                <w:sz w:val="21"/>
                <w:lang w:bidi="ar-SA"/>
              </w:rPr>
              <w:t>林地、园地区域进行补植。本年度静态投资21.98万元，动态投资30.83万元。</w:t>
            </w:r>
          </w:p>
        </w:tc>
      </w:tr>
    </w:tbl>
    <w:p>
      <w:pPr>
        <w:pStyle w:val="114"/>
        <w:kinsoku w:val="0"/>
        <w:overflowPunct w:val="0"/>
        <w:autoSpaceDE w:val="0"/>
        <w:autoSpaceDN w:val="0"/>
        <w:adjustRightInd w:val="0"/>
        <w:jc w:val="left"/>
        <w:rPr>
          <w:rFonts w:ascii="仿宋_GB2312" w:eastAsia="仿宋_GB2312" w:cs="仿宋_GB2312"/>
          <w:kern w:val="0"/>
          <w:sz w:val="24"/>
          <w:szCs w:val="24"/>
          <w:lang w:val="en-US" w:bidi="ar-SA"/>
        </w:rPr>
        <w:sectPr>
          <w:pgSz w:w="11910" w:h="16840"/>
          <w:pgMar w:top="1040" w:right="560" w:bottom="280" w:left="580" w:header="858" w:footer="0" w:gutter="0"/>
          <w:cols w:space="720" w:num="1"/>
        </w:sectPr>
      </w:pPr>
    </w:p>
    <w:tbl>
      <w:tblPr>
        <w:tblStyle w:val="26"/>
        <w:tblW w:w="10760" w:type="dxa"/>
        <w:tblInd w:w="0" w:type="dxa"/>
        <w:tblLayout w:type="fixed"/>
        <w:tblCellMar>
          <w:top w:w="0" w:type="dxa"/>
          <w:left w:w="0" w:type="dxa"/>
          <w:bottom w:w="0" w:type="dxa"/>
          <w:right w:w="0" w:type="dxa"/>
        </w:tblCellMar>
      </w:tblPr>
      <w:tblGrid>
        <w:gridCol w:w="699"/>
        <w:gridCol w:w="10061"/>
      </w:tblGrid>
      <w:tr>
        <w:tblPrEx>
          <w:tblLayout w:type="fixed"/>
          <w:tblCellMar>
            <w:top w:w="0" w:type="dxa"/>
            <w:left w:w="0" w:type="dxa"/>
            <w:bottom w:w="0" w:type="dxa"/>
            <w:right w:w="0" w:type="dxa"/>
          </w:tblCellMar>
        </w:tblPrEx>
        <w:trPr>
          <w:trHeight w:val="15319" w:hRule="exact"/>
        </w:trPr>
        <w:tc>
          <w:tcPr>
            <w:tcW w:w="699" w:type="dxa"/>
            <w:tcBorders>
              <w:top w:val="single" w:color="000000" w:sz="4" w:space="0"/>
              <w:left w:val="single" w:color="000000" w:sz="4" w:space="0"/>
              <w:bottom w:val="single" w:color="000000" w:sz="4" w:space="0"/>
              <w:right w:val="single" w:color="000000" w:sz="4" w:space="0"/>
            </w:tcBorders>
          </w:tcPr>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r>
              <w:rPr>
                <w:rFonts w:eastAsia="仿宋_GB2312"/>
                <w:kern w:val="0"/>
                <w:szCs w:val="21"/>
                <w:lang w:val="en-US" w:bidi="ar-SA"/>
              </w:rPr>
              <w:t>工作计划及主要措施</w:t>
            </w:r>
          </w:p>
        </w:tc>
        <w:tc>
          <w:tcPr>
            <w:tcW w:w="10061" w:type="dxa"/>
            <w:tcBorders>
              <w:top w:val="single" w:color="000000" w:sz="4" w:space="0"/>
              <w:left w:val="single" w:color="000000" w:sz="4" w:space="0"/>
              <w:bottom w:val="single" w:color="000000" w:sz="4" w:space="0"/>
              <w:right w:val="single" w:color="000000" w:sz="4" w:space="0"/>
            </w:tcBorders>
          </w:tcPr>
          <w:p>
            <w:pPr>
              <w:ind w:firstLine="422"/>
              <w:rPr>
                <w:rFonts w:eastAsia="仿宋" w:cs="Times New Roman"/>
                <w:b/>
                <w:bCs/>
                <w:sz w:val="21"/>
                <w:szCs w:val="21"/>
              </w:rPr>
            </w:pPr>
            <w:r>
              <w:rPr>
                <w:rFonts w:eastAsia="仿宋" w:cs="Times New Roman"/>
                <w:b/>
                <w:bCs/>
                <w:sz w:val="21"/>
                <w:szCs w:val="21"/>
              </w:rPr>
              <w:t>1、土壤重构工程</w:t>
            </w:r>
          </w:p>
          <w:p>
            <w:pPr>
              <w:ind w:firstLine="440"/>
              <w:rPr>
                <w:rFonts w:cs="Times New Roman"/>
                <w:spacing w:val="10"/>
                <w:sz w:val="21"/>
                <w:szCs w:val="21"/>
              </w:rPr>
            </w:pPr>
            <w:r>
              <w:rPr>
                <w:rFonts w:cs="Times New Roman"/>
                <w:spacing w:val="10"/>
                <w:sz w:val="21"/>
                <w:szCs w:val="21"/>
              </w:rPr>
              <w:t>（1）表土剥离</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表土（土壤）处置的目的是为植物生长提供一个较适宜的土壤环境。相比较而言，覆土种植的作物或树木易于成活，环境能够较快地得到改善。</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作为复垦工作来说，表层土壤的剥离及堆放具有重要的意义。表层土壤不仅是复垦土地的覆土来源，也是减少复垦投资，保护土地资源的重要措施。</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根据项目区各复垦单元立地条件和土层厚度进行表土剥离，首先清除地表杂物，再挖松表层土壤，清除杂物石粒后，利用挖掘机剥离并收集表土，自卸汽车装运至表土堆场区域进行存放。为防止损毁表土特性，机械操作时应避免过度辗压。此外，为防造成水土流失，表土堆场采用编织袋挡墙进行拦挡，表面彩布防护，在土地复垦时将表土覆盖在复垦平整后的地表，以恢复植被。</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（2）覆土工程</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在项目使用结束后，本方案设计进行表土覆盖，根据《土地复垦质量控制标准》（TD/T1036-2013）要求，设计拟复垦水浇地、旱地覆盖土厚度为0.6m，园地覆土厚度为0.6m，林地穴状覆土厚度为0.9</w:t>
            </w:r>
            <w:r>
              <w:rPr>
                <w:rFonts w:hint="eastAsia" w:eastAsia="仿宋_GB2312"/>
                <w:spacing w:val="10"/>
                <w:kern w:val="0"/>
                <w:szCs w:val="21"/>
                <w:lang w:val="en-US" w:eastAsia="zh-CN" w:bidi="ar-SA"/>
              </w:rPr>
              <w:t>*</w:t>
            </w:r>
            <w:r>
              <w:rPr>
                <w:rFonts w:eastAsia="仿宋_GB2312"/>
                <w:spacing w:val="10"/>
                <w:kern w:val="0"/>
                <w:szCs w:val="21"/>
                <w:lang w:val="en-US" w:bidi="ar-SA"/>
              </w:rPr>
              <w:t>0.9</w:t>
            </w:r>
            <w:r>
              <w:rPr>
                <w:rFonts w:hint="eastAsia" w:eastAsia="仿宋_GB2312"/>
                <w:spacing w:val="10"/>
                <w:kern w:val="0"/>
                <w:szCs w:val="21"/>
                <w:lang w:val="en-US" w:eastAsia="zh-CN" w:bidi="ar-SA"/>
              </w:rPr>
              <w:t>*</w:t>
            </w:r>
            <w:r>
              <w:rPr>
                <w:rFonts w:eastAsia="仿宋_GB2312"/>
                <w:spacing w:val="10"/>
                <w:kern w:val="0"/>
                <w:szCs w:val="21"/>
                <w:lang w:val="en-US" w:bidi="ar-SA"/>
              </w:rPr>
              <w:t>0.9m，进行表土覆土工程。</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（3）平整工程</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土地平整是改变破坏土地地表形状、理性的主要的工程措施之一。建设项目挖损、压占土地后，原地发生变化，可能出现凹坑、凸起，且出露物多为砾石、碎石、岩块石等，难以直接进行农、林、牧利用。在土地平整过程中通过人机配合对大块石、岩块进行捡拾，实施土地平整，满足土地复垦的初步立地条件。复垦为耕地的区域，水浇地平整后地面坡度不超过15°，旱地和园地区域平整后地面坡度不超过25°。</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（4）土地翻耕</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表土堆场在使用过程中对地表一定程度的压实，使土壤对降雨入渗能力降低。为了恢复土地（尤其是耕地）的使用功能，待施工结束后需对复垦为耕地的区域进行翻耕，翻耕深度30cm。恢复其土壤结构，以保证正常种植。</w:t>
            </w:r>
          </w:p>
          <w:p>
            <w:pPr>
              <w:ind w:firstLine="440"/>
              <w:rPr>
                <w:rFonts w:cs="Times New Roman"/>
                <w:spacing w:val="10"/>
                <w:sz w:val="21"/>
                <w:szCs w:val="21"/>
              </w:rPr>
            </w:pPr>
            <w:r>
              <w:rPr>
                <w:rFonts w:cs="Times New Roman"/>
                <w:spacing w:val="10"/>
                <w:sz w:val="21"/>
                <w:szCs w:val="21"/>
              </w:rPr>
              <w:t>（5）土壤培肥</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新复垦的耕地应注重改土耕种技术，加强土壤肥力，增加厩肥、沤肥、人畜粪尿等，并且有机肥料的施用应与化学改良剂、化肥结合起来，提高肥力。本方案安排在覆土后，耕地内采用撒播商品有机肥和绿肥，以增加地力，商品有机肥每hm</w:t>
            </w:r>
            <w:r>
              <w:rPr>
                <w:rFonts w:eastAsia="仿宋_GB2312"/>
                <w:spacing w:val="10"/>
                <w:kern w:val="0"/>
                <w:szCs w:val="21"/>
                <w:vertAlign w:val="superscript"/>
                <w:lang w:val="en-US" w:bidi="ar-SA"/>
              </w:rPr>
              <w:t>2</w:t>
            </w:r>
            <w:r>
              <w:rPr>
                <w:rFonts w:eastAsia="仿宋_GB2312"/>
                <w:spacing w:val="10"/>
                <w:kern w:val="0"/>
                <w:szCs w:val="21"/>
                <w:lang w:val="en-US" w:bidi="ar-SA"/>
              </w:rPr>
              <w:t>施肥7500kg，绿肥每hm</w:t>
            </w:r>
            <w:r>
              <w:rPr>
                <w:rFonts w:eastAsia="仿宋_GB2312"/>
                <w:spacing w:val="10"/>
                <w:kern w:val="0"/>
                <w:szCs w:val="21"/>
                <w:vertAlign w:val="superscript"/>
                <w:lang w:val="en-US" w:bidi="ar-SA"/>
              </w:rPr>
              <w:t>2</w:t>
            </w:r>
            <w:r>
              <w:rPr>
                <w:rFonts w:eastAsia="仿宋_GB2312"/>
                <w:spacing w:val="10"/>
                <w:kern w:val="0"/>
                <w:szCs w:val="21"/>
                <w:lang w:val="en-US" w:bidi="ar-SA"/>
              </w:rPr>
              <w:t>施肥60kg，年限为1年。</w:t>
            </w:r>
          </w:p>
          <w:p>
            <w:pPr>
              <w:ind w:firstLine="422"/>
              <w:rPr>
                <w:rFonts w:eastAsia="仿宋" w:cs="Times New Roman"/>
                <w:b/>
                <w:bCs/>
                <w:sz w:val="21"/>
                <w:szCs w:val="21"/>
              </w:rPr>
            </w:pPr>
            <w:r>
              <w:rPr>
                <w:rFonts w:hint="eastAsia" w:eastAsia="仿宋" w:cs="Times New Roman"/>
                <w:b/>
                <w:bCs/>
                <w:sz w:val="21"/>
                <w:szCs w:val="21"/>
              </w:rPr>
              <w:t>2、植被重建工程</w:t>
            </w:r>
          </w:p>
          <w:p>
            <w:pPr>
              <w:ind w:firstLine="420"/>
              <w:rPr>
                <w:rFonts w:eastAsia="仿宋" w:cs="Times New Roman"/>
                <w:sz w:val="21"/>
                <w:szCs w:val="21"/>
              </w:rPr>
            </w:pPr>
            <w:r>
              <w:rPr>
                <w:rFonts w:hint="eastAsia" w:eastAsia="仿宋" w:cs="Times New Roman"/>
                <w:sz w:val="21"/>
                <w:szCs w:val="21"/>
              </w:rPr>
              <w:t>（1）植被恢复工程</w:t>
            </w:r>
          </w:p>
          <w:p>
            <w:pPr>
              <w:pStyle w:val="114"/>
              <w:kinsoku w:val="0"/>
              <w:overflowPunct w:val="0"/>
              <w:autoSpaceDE w:val="0"/>
              <w:autoSpaceDN w:val="0"/>
              <w:adjustRightInd w:val="0"/>
              <w:spacing w:before="32" w:line="357" w:lineRule="auto"/>
              <w:ind w:left="108" w:right="-3" w:firstLine="420"/>
              <w:jc w:val="left"/>
              <w:rPr>
                <w:rFonts w:eastAsia="仿宋_GB2312"/>
                <w:kern w:val="0"/>
                <w:szCs w:val="21"/>
                <w:lang w:val="en-US" w:bidi="ar-SA"/>
              </w:rPr>
            </w:pPr>
            <w:r>
              <w:rPr>
                <w:rFonts w:hint="eastAsia" w:eastAsia="仿宋_GB2312"/>
                <w:spacing w:val="10"/>
                <w:kern w:val="0"/>
                <w:szCs w:val="21"/>
                <w:lang w:val="en-US" w:bidi="ar-SA"/>
              </w:rPr>
              <w:t>复垦为林地区域：设计采取乔木</w:t>
            </w:r>
            <w:r>
              <w:rPr>
                <w:rFonts w:eastAsia="仿宋_GB2312"/>
                <w:spacing w:val="10"/>
                <w:kern w:val="0"/>
                <w:szCs w:val="21"/>
                <w:lang w:val="en-US" w:bidi="ar-SA"/>
              </w:rPr>
              <w:t>+</w:t>
            </w:r>
            <w:r>
              <w:rPr>
                <w:rFonts w:hint="eastAsia" w:eastAsia="仿宋_GB2312"/>
                <w:spacing w:val="10"/>
                <w:kern w:val="0"/>
                <w:szCs w:val="21"/>
                <w:lang w:val="en-US" w:bidi="ar-SA"/>
              </w:rPr>
              <w:t>草措施配置，品字型的种植，乔木选用冬瓜数及云南松，乔木选用</w:t>
            </w:r>
            <w:r>
              <w:rPr>
                <w:rFonts w:eastAsia="仿宋_GB2312"/>
                <w:spacing w:val="10"/>
                <w:kern w:val="0"/>
                <w:szCs w:val="21"/>
                <w:lang w:val="en-US" w:bidi="ar-SA"/>
              </w:rPr>
              <w:t>I</w:t>
            </w:r>
            <w:r>
              <w:rPr>
                <w:rFonts w:hint="eastAsia" w:eastAsia="仿宋_GB2312"/>
                <w:spacing w:val="10"/>
                <w:kern w:val="0"/>
                <w:szCs w:val="21"/>
                <w:lang w:val="en-US" w:bidi="ar-SA"/>
              </w:rPr>
              <w:t>级容器苗，苗木需要从具有“三证一签</w:t>
            </w:r>
            <w:r>
              <w:rPr>
                <w:rFonts w:eastAsia="仿宋_GB2312"/>
                <w:spacing w:val="10"/>
                <w:kern w:val="0"/>
                <w:szCs w:val="21"/>
                <w:lang w:val="en-US" w:bidi="ar-SA"/>
              </w:rPr>
              <w:t>”</w:t>
            </w:r>
            <w:r>
              <w:rPr>
                <w:rFonts w:hint="eastAsia" w:eastAsia="仿宋_GB2312"/>
                <w:spacing w:val="10"/>
                <w:kern w:val="0"/>
                <w:szCs w:val="21"/>
                <w:lang w:val="en-US" w:bidi="ar-SA"/>
              </w:rPr>
              <w:t>苗木经营单位购买，旱冬瓜选用高在1-1.5m，胸径在1-2cm，云南松选用高在1.2-1.5m，胸径在1-2cm，按1:</w:t>
            </w:r>
            <w:r>
              <w:rPr>
                <w:rFonts w:eastAsia="仿宋_GB2312"/>
                <w:spacing w:val="10"/>
                <w:kern w:val="0"/>
                <w:szCs w:val="21"/>
                <w:lang w:val="en-US" w:bidi="ar-SA"/>
              </w:rPr>
              <w:t>1</w:t>
            </w:r>
            <w:r>
              <w:rPr>
                <w:rFonts w:hint="eastAsia" w:eastAsia="仿宋_GB2312"/>
                <w:spacing w:val="10"/>
                <w:kern w:val="0"/>
                <w:szCs w:val="21"/>
                <w:lang w:val="en-US" w:bidi="ar-SA"/>
              </w:rPr>
              <w:t>进行行间混交，株行距为</w:t>
            </w:r>
            <w:r>
              <w:rPr>
                <w:rFonts w:eastAsia="仿宋_GB2312"/>
                <w:spacing w:val="10"/>
                <w:kern w:val="0"/>
                <w:szCs w:val="21"/>
                <w:lang w:val="en-US" w:bidi="ar-SA"/>
              </w:rPr>
              <w:t>2.0×2.0m</w:t>
            </w:r>
            <w:r>
              <w:rPr>
                <w:rFonts w:hint="eastAsia" w:eastAsia="仿宋_GB2312"/>
                <w:spacing w:val="10"/>
                <w:kern w:val="0"/>
                <w:szCs w:val="21"/>
                <w:lang w:val="en-US" w:bidi="ar-SA"/>
              </w:rPr>
              <w:t>，植树密度</w:t>
            </w:r>
            <w:r>
              <w:rPr>
                <w:rFonts w:eastAsia="仿宋_GB2312"/>
                <w:spacing w:val="10"/>
                <w:kern w:val="0"/>
                <w:szCs w:val="21"/>
                <w:lang w:val="en-US" w:bidi="ar-SA"/>
              </w:rPr>
              <w:t>2500</w:t>
            </w:r>
            <w:r>
              <w:rPr>
                <w:rFonts w:hint="eastAsia" w:eastAsia="仿宋_GB2312"/>
                <w:spacing w:val="10"/>
                <w:kern w:val="0"/>
                <w:szCs w:val="21"/>
                <w:lang w:val="en-US" w:bidi="ar-SA"/>
              </w:rPr>
              <w:t>株</w:t>
            </w:r>
            <w:r>
              <w:rPr>
                <w:rFonts w:eastAsia="仿宋_GB2312"/>
                <w:spacing w:val="10"/>
                <w:kern w:val="0"/>
                <w:szCs w:val="21"/>
                <w:lang w:val="en-US" w:bidi="ar-SA"/>
              </w:rPr>
              <w:t>/hm²</w:t>
            </w:r>
            <w:r>
              <w:rPr>
                <w:rFonts w:hint="eastAsia" w:eastAsia="仿宋_GB2312"/>
                <w:spacing w:val="10"/>
                <w:kern w:val="0"/>
                <w:szCs w:val="21"/>
                <w:lang w:val="en-US" w:bidi="ar-SA"/>
              </w:rPr>
              <w:t>，采用块状栽植，树坑按穴状整地：乔木</w:t>
            </w:r>
            <w:r>
              <w:rPr>
                <w:rFonts w:eastAsia="仿宋_GB2312"/>
                <w:spacing w:val="10"/>
                <w:kern w:val="0"/>
                <w:szCs w:val="21"/>
                <w:lang w:val="en-US" w:bidi="ar-SA"/>
              </w:rPr>
              <w:t>50cm×50cm×50cm</w:t>
            </w:r>
            <w:r>
              <w:rPr>
                <w:rFonts w:hint="eastAsia" w:eastAsia="仿宋_GB2312"/>
                <w:spacing w:val="10"/>
                <w:kern w:val="0"/>
                <w:szCs w:val="21"/>
                <w:lang w:val="en-US" w:bidi="ar-SA"/>
              </w:rPr>
              <w:t>，草本选择狗牙根播撒数量为</w:t>
            </w:r>
            <w:r>
              <w:rPr>
                <w:rFonts w:eastAsia="仿宋_GB2312"/>
                <w:spacing w:val="10"/>
                <w:kern w:val="0"/>
                <w:szCs w:val="21"/>
                <w:lang w:val="en-US" w:bidi="ar-SA"/>
              </w:rPr>
              <w:t>3kg/</w:t>
            </w:r>
            <w:r>
              <w:rPr>
                <w:rFonts w:hint="eastAsia" w:eastAsia="仿宋_GB2312"/>
                <w:spacing w:val="10"/>
                <w:kern w:val="0"/>
                <w:szCs w:val="21"/>
                <w:lang w:val="en-US" w:bidi="ar-SA"/>
              </w:rPr>
              <w:t>亩，草籽播深</w:t>
            </w:r>
            <w:r>
              <w:rPr>
                <w:rFonts w:eastAsia="仿宋_GB2312"/>
                <w:spacing w:val="10"/>
                <w:kern w:val="0"/>
                <w:szCs w:val="21"/>
                <w:lang w:val="en-US" w:bidi="ar-SA"/>
              </w:rPr>
              <w:t>2~3cm</w:t>
            </w:r>
            <w:r>
              <w:rPr>
                <w:rFonts w:hint="eastAsia" w:eastAsia="仿宋_GB2312"/>
                <w:spacing w:val="10"/>
                <w:kern w:val="0"/>
                <w:szCs w:val="21"/>
                <w:lang w:val="en-US" w:bidi="ar-SA"/>
              </w:rPr>
              <w:t>。种植季节尽量选择雨季阴天或小雨天。按存活率</w:t>
            </w:r>
            <w:r>
              <w:rPr>
                <w:rFonts w:eastAsia="仿宋_GB2312"/>
                <w:spacing w:val="10"/>
                <w:kern w:val="0"/>
                <w:szCs w:val="21"/>
                <w:lang w:val="en-US" w:bidi="ar-SA"/>
              </w:rPr>
              <w:t>85%</w:t>
            </w:r>
            <w:r>
              <w:rPr>
                <w:rFonts w:hint="eastAsia" w:eastAsia="仿宋_GB2312"/>
                <w:spacing w:val="10"/>
                <w:kern w:val="0"/>
                <w:szCs w:val="21"/>
                <w:lang w:val="en-US" w:bidi="ar-SA"/>
              </w:rPr>
              <w:t>计算进行补种，为预防出现极端天气对树种造成影响，增加</w:t>
            </w:r>
            <w:r>
              <w:rPr>
                <w:rFonts w:eastAsia="仿宋_GB2312"/>
                <w:spacing w:val="10"/>
                <w:kern w:val="0"/>
                <w:szCs w:val="21"/>
                <w:lang w:val="en-US" w:bidi="ar-SA"/>
              </w:rPr>
              <w:t>10%</w:t>
            </w:r>
            <w:r>
              <w:rPr>
                <w:rFonts w:hint="eastAsia" w:eastAsia="仿宋_GB2312"/>
                <w:spacing w:val="10"/>
                <w:kern w:val="0"/>
                <w:szCs w:val="21"/>
                <w:lang w:val="en-US" w:bidi="ar-SA"/>
              </w:rPr>
              <w:t>补种量。</w:t>
            </w:r>
          </w:p>
        </w:tc>
      </w:tr>
    </w:tbl>
    <w:p>
      <w:pPr>
        <w:pStyle w:val="114"/>
        <w:kinsoku w:val="0"/>
        <w:overflowPunct w:val="0"/>
        <w:autoSpaceDE w:val="0"/>
        <w:autoSpaceDN w:val="0"/>
        <w:adjustRightInd w:val="0"/>
        <w:jc w:val="left"/>
        <w:rPr>
          <w:rFonts w:ascii="仿宋_GB2312" w:eastAsia="仿宋_GB2312" w:cs="仿宋_GB2312"/>
          <w:kern w:val="0"/>
          <w:sz w:val="24"/>
          <w:szCs w:val="24"/>
          <w:lang w:val="en-US" w:bidi="ar-SA"/>
        </w:rPr>
        <w:sectPr>
          <w:pgSz w:w="11910" w:h="16840"/>
          <w:pgMar w:top="1040" w:right="560" w:bottom="280" w:left="580" w:header="858" w:footer="0" w:gutter="0"/>
          <w:cols w:space="720" w:num="1"/>
        </w:sectPr>
      </w:pPr>
    </w:p>
    <w:tbl>
      <w:tblPr>
        <w:tblStyle w:val="26"/>
        <w:tblW w:w="10760" w:type="dxa"/>
        <w:tblInd w:w="0" w:type="dxa"/>
        <w:tblLayout w:type="fixed"/>
        <w:tblCellMar>
          <w:top w:w="0" w:type="dxa"/>
          <w:left w:w="0" w:type="dxa"/>
          <w:bottom w:w="0" w:type="dxa"/>
          <w:right w:w="0" w:type="dxa"/>
        </w:tblCellMar>
      </w:tblPr>
      <w:tblGrid>
        <w:gridCol w:w="465"/>
        <w:gridCol w:w="10295"/>
      </w:tblGrid>
      <w:tr>
        <w:tblPrEx>
          <w:tblLayout w:type="fixed"/>
          <w:tblCellMar>
            <w:top w:w="0" w:type="dxa"/>
            <w:left w:w="0" w:type="dxa"/>
            <w:bottom w:w="0" w:type="dxa"/>
            <w:right w:w="0" w:type="dxa"/>
          </w:tblCellMar>
        </w:tblPrEx>
        <w:trPr>
          <w:trHeight w:val="15108" w:hRule="exact"/>
        </w:trPr>
        <w:tc>
          <w:tcPr>
            <w:tcW w:w="465" w:type="dxa"/>
            <w:tcBorders>
              <w:top w:val="single" w:color="000000" w:sz="4" w:space="0"/>
              <w:left w:val="single" w:color="000000" w:sz="4" w:space="0"/>
              <w:bottom w:val="single" w:color="000000" w:sz="4" w:space="0"/>
              <w:right w:val="single" w:color="000000" w:sz="4" w:space="0"/>
            </w:tcBorders>
            <w:vAlign w:val="center"/>
          </w:tcPr>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r>
              <w:rPr>
                <w:rFonts w:eastAsia="仿宋_GB2312"/>
                <w:kern w:val="0"/>
                <w:szCs w:val="21"/>
                <w:lang w:val="en-US" w:bidi="ar-SA"/>
              </w:rPr>
              <w:t>工</w:t>
            </w:r>
          </w:p>
          <w:p>
            <w:pPr>
              <w:pStyle w:val="114"/>
              <w:kinsoku w:val="0"/>
              <w:overflowPunct w:val="0"/>
              <w:autoSpaceDE w:val="0"/>
              <w:autoSpaceDN w:val="0"/>
              <w:adjustRightInd w:val="0"/>
              <w:jc w:val="center"/>
              <w:rPr>
                <w:rFonts w:eastAsia="仿宋_GB2312"/>
                <w:kern w:val="0"/>
                <w:szCs w:val="21"/>
                <w:lang w:val="en-US" w:bidi="ar-SA"/>
              </w:rPr>
            </w:pPr>
            <w:r>
              <w:rPr>
                <w:rFonts w:eastAsia="仿宋_GB2312"/>
                <w:kern w:val="0"/>
                <w:szCs w:val="21"/>
                <w:lang w:val="en-US" w:bidi="ar-SA"/>
              </w:rPr>
              <w:t>作</w:t>
            </w:r>
          </w:p>
          <w:p>
            <w:pPr>
              <w:pStyle w:val="114"/>
              <w:kinsoku w:val="0"/>
              <w:overflowPunct w:val="0"/>
              <w:autoSpaceDE w:val="0"/>
              <w:autoSpaceDN w:val="0"/>
              <w:adjustRightInd w:val="0"/>
              <w:jc w:val="center"/>
              <w:rPr>
                <w:rFonts w:eastAsia="仿宋_GB2312"/>
                <w:kern w:val="0"/>
                <w:szCs w:val="21"/>
                <w:lang w:val="en-US" w:bidi="ar-SA"/>
              </w:rPr>
            </w:pPr>
            <w:r>
              <w:rPr>
                <w:rFonts w:eastAsia="仿宋_GB2312"/>
                <w:kern w:val="0"/>
                <w:szCs w:val="21"/>
                <w:lang w:val="en-US" w:bidi="ar-SA"/>
              </w:rPr>
              <w:t>计</w:t>
            </w:r>
          </w:p>
          <w:p>
            <w:pPr>
              <w:pStyle w:val="114"/>
              <w:kinsoku w:val="0"/>
              <w:overflowPunct w:val="0"/>
              <w:autoSpaceDE w:val="0"/>
              <w:autoSpaceDN w:val="0"/>
              <w:adjustRightInd w:val="0"/>
              <w:jc w:val="center"/>
              <w:rPr>
                <w:rFonts w:eastAsia="仿宋_GB2312"/>
                <w:kern w:val="0"/>
                <w:szCs w:val="21"/>
                <w:lang w:val="en-US" w:bidi="ar-SA"/>
              </w:rPr>
            </w:pPr>
            <w:r>
              <w:rPr>
                <w:rFonts w:eastAsia="仿宋_GB2312"/>
                <w:kern w:val="0"/>
                <w:szCs w:val="21"/>
                <w:lang w:val="en-US" w:bidi="ar-SA"/>
              </w:rPr>
              <w:t>划</w:t>
            </w:r>
          </w:p>
          <w:p>
            <w:pPr>
              <w:pStyle w:val="114"/>
              <w:kinsoku w:val="0"/>
              <w:overflowPunct w:val="0"/>
              <w:autoSpaceDE w:val="0"/>
              <w:autoSpaceDN w:val="0"/>
              <w:adjustRightInd w:val="0"/>
              <w:jc w:val="center"/>
              <w:rPr>
                <w:rFonts w:eastAsia="仿宋_GB2312"/>
                <w:kern w:val="0"/>
                <w:szCs w:val="21"/>
                <w:lang w:val="en-US" w:bidi="ar-SA"/>
              </w:rPr>
            </w:pPr>
            <w:r>
              <w:rPr>
                <w:rFonts w:eastAsia="仿宋_GB2312"/>
                <w:kern w:val="0"/>
                <w:szCs w:val="21"/>
                <w:lang w:val="en-US" w:bidi="ar-SA"/>
              </w:rPr>
              <w:t>及</w:t>
            </w:r>
          </w:p>
          <w:p>
            <w:pPr>
              <w:pStyle w:val="114"/>
              <w:kinsoku w:val="0"/>
              <w:overflowPunct w:val="0"/>
              <w:autoSpaceDE w:val="0"/>
              <w:autoSpaceDN w:val="0"/>
              <w:adjustRightInd w:val="0"/>
              <w:jc w:val="center"/>
              <w:rPr>
                <w:rFonts w:eastAsia="仿宋_GB2312"/>
                <w:kern w:val="0"/>
                <w:szCs w:val="21"/>
                <w:lang w:val="en-US" w:bidi="ar-SA"/>
              </w:rPr>
            </w:pPr>
            <w:r>
              <w:rPr>
                <w:rFonts w:eastAsia="仿宋_GB2312"/>
                <w:kern w:val="0"/>
                <w:szCs w:val="21"/>
                <w:lang w:val="en-US" w:bidi="ar-SA"/>
              </w:rPr>
              <w:t>主</w:t>
            </w:r>
          </w:p>
          <w:p>
            <w:pPr>
              <w:pStyle w:val="114"/>
              <w:kinsoku w:val="0"/>
              <w:overflowPunct w:val="0"/>
              <w:autoSpaceDE w:val="0"/>
              <w:autoSpaceDN w:val="0"/>
              <w:adjustRightInd w:val="0"/>
              <w:jc w:val="center"/>
              <w:rPr>
                <w:rFonts w:eastAsia="仿宋_GB2312"/>
                <w:kern w:val="0"/>
                <w:szCs w:val="21"/>
                <w:lang w:val="en-US" w:bidi="ar-SA"/>
              </w:rPr>
            </w:pPr>
            <w:r>
              <w:rPr>
                <w:rFonts w:eastAsia="仿宋_GB2312"/>
                <w:kern w:val="0"/>
                <w:szCs w:val="21"/>
                <w:lang w:val="en-US" w:bidi="ar-SA"/>
              </w:rPr>
              <w:t>要</w:t>
            </w:r>
          </w:p>
          <w:p>
            <w:pPr>
              <w:pStyle w:val="114"/>
              <w:kinsoku w:val="0"/>
              <w:overflowPunct w:val="0"/>
              <w:autoSpaceDE w:val="0"/>
              <w:autoSpaceDN w:val="0"/>
              <w:adjustRightInd w:val="0"/>
              <w:jc w:val="center"/>
              <w:rPr>
                <w:rFonts w:eastAsia="仿宋_GB2312"/>
                <w:kern w:val="0"/>
                <w:szCs w:val="21"/>
                <w:lang w:val="en-US" w:bidi="ar-SA"/>
              </w:rPr>
            </w:pPr>
            <w:r>
              <w:rPr>
                <w:rFonts w:eastAsia="仿宋_GB2312"/>
                <w:kern w:val="0"/>
                <w:szCs w:val="21"/>
                <w:lang w:val="en-US" w:bidi="ar-SA"/>
              </w:rPr>
              <w:t>措</w:t>
            </w:r>
          </w:p>
          <w:p>
            <w:pPr>
              <w:pStyle w:val="114"/>
              <w:kinsoku w:val="0"/>
              <w:overflowPunct w:val="0"/>
              <w:autoSpaceDE w:val="0"/>
              <w:autoSpaceDN w:val="0"/>
              <w:adjustRightInd w:val="0"/>
              <w:jc w:val="center"/>
              <w:rPr>
                <w:rFonts w:eastAsia="仿宋_GB2312"/>
                <w:kern w:val="0"/>
                <w:szCs w:val="21"/>
                <w:lang w:val="en-US" w:bidi="ar-SA"/>
              </w:rPr>
            </w:pPr>
            <w:r>
              <w:rPr>
                <w:rFonts w:eastAsia="仿宋_GB2312"/>
                <w:kern w:val="0"/>
                <w:szCs w:val="21"/>
                <w:lang w:val="en-US" w:bidi="ar-SA"/>
              </w:rPr>
              <w:t>施</w:t>
            </w:r>
          </w:p>
        </w:tc>
        <w:tc>
          <w:tcPr>
            <w:tcW w:w="10295" w:type="dxa"/>
            <w:tcBorders>
              <w:top w:val="single" w:color="000000" w:sz="4" w:space="0"/>
              <w:left w:val="single" w:color="000000" w:sz="4" w:space="0"/>
              <w:bottom w:val="single" w:color="000000" w:sz="4" w:space="0"/>
              <w:right w:val="single" w:color="000000" w:sz="4" w:space="0"/>
            </w:tcBorders>
          </w:tcPr>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复垦园地区域：设计采取单行单株种植，果树选用</w:t>
            </w:r>
            <w:r>
              <w:rPr>
                <w:rFonts w:hint="eastAsia" w:eastAsia="仿宋_GB2312"/>
                <w:spacing w:val="10"/>
                <w:kern w:val="0"/>
                <w:szCs w:val="21"/>
                <w:lang w:val="en-US" w:bidi="ar-SA"/>
              </w:rPr>
              <w:t>桃</w:t>
            </w:r>
            <w:r>
              <w:rPr>
                <w:rFonts w:eastAsia="仿宋_GB2312"/>
                <w:spacing w:val="10"/>
                <w:kern w:val="0"/>
                <w:szCs w:val="21"/>
                <w:lang w:val="en-US" w:bidi="ar-SA"/>
              </w:rPr>
              <w:t>树</w:t>
            </w:r>
            <w:r>
              <w:rPr>
                <w:rFonts w:hint="eastAsia" w:eastAsia="仿宋_GB2312"/>
                <w:spacing w:val="10"/>
                <w:kern w:val="0"/>
                <w:szCs w:val="21"/>
                <w:lang w:val="en-US" w:bidi="ar-SA"/>
              </w:rPr>
              <w:t>为</w:t>
            </w:r>
            <w:r>
              <w:rPr>
                <w:rFonts w:eastAsia="仿宋_GB2312"/>
                <w:spacing w:val="10"/>
                <w:kern w:val="0"/>
                <w:szCs w:val="21"/>
                <w:lang w:val="en-US" w:bidi="ar-SA"/>
              </w:rPr>
              <w:t>I级容器苗，</w:t>
            </w:r>
            <w:r>
              <w:rPr>
                <w:rFonts w:hint="eastAsia" w:eastAsia="仿宋_GB2312"/>
                <w:spacing w:val="10"/>
                <w:kern w:val="0"/>
                <w:szCs w:val="21"/>
                <w:lang w:val="en-US" w:bidi="ar-SA"/>
              </w:rPr>
              <w:t>高在0.7-1.5m，胸径在0.6-5cm</w:t>
            </w:r>
            <w:r>
              <w:rPr>
                <w:rFonts w:eastAsia="仿宋_GB2312"/>
                <w:spacing w:val="10"/>
                <w:kern w:val="0"/>
                <w:szCs w:val="21"/>
                <w:lang w:val="en-US" w:bidi="ar-SA"/>
              </w:rPr>
              <w:t>，种植密度株距4m，行距3m</w:t>
            </w:r>
            <w:r>
              <w:rPr>
                <w:rFonts w:hint="eastAsia" w:eastAsia="仿宋_GB2312"/>
                <w:spacing w:val="10"/>
                <w:kern w:val="0"/>
                <w:szCs w:val="21"/>
                <w:lang w:val="en-US" w:bidi="ar-SA"/>
              </w:rPr>
              <w:t>，</w:t>
            </w:r>
            <w:r>
              <w:rPr>
                <w:rFonts w:eastAsia="仿宋_GB2312"/>
                <w:spacing w:val="10"/>
                <w:kern w:val="0"/>
                <w:szCs w:val="21"/>
                <w:lang w:val="en-US" w:bidi="ar-SA"/>
              </w:rPr>
              <w:t>830株/hm²。复垦园地区域按存活率90%计算进行补种，为</w:t>
            </w:r>
            <w:r>
              <w:rPr>
                <w:rFonts w:hint="eastAsia" w:eastAsia="仿宋_GB2312"/>
                <w:spacing w:val="10"/>
                <w:kern w:val="0"/>
                <w:szCs w:val="21"/>
                <w:lang w:val="en-US" w:bidi="ar-SA"/>
              </w:rPr>
              <w:t>预防出现</w:t>
            </w:r>
            <w:r>
              <w:rPr>
                <w:rFonts w:eastAsia="仿宋_GB2312"/>
                <w:spacing w:val="10"/>
                <w:kern w:val="0"/>
                <w:szCs w:val="21"/>
                <w:lang w:val="en-US" w:bidi="ar-SA"/>
              </w:rPr>
              <w:t>极端天气对树种</w:t>
            </w:r>
            <w:r>
              <w:rPr>
                <w:rFonts w:hint="eastAsia" w:eastAsia="仿宋_GB2312"/>
                <w:spacing w:val="10"/>
                <w:kern w:val="0"/>
                <w:szCs w:val="21"/>
                <w:lang w:val="en-US" w:bidi="ar-SA"/>
              </w:rPr>
              <w:t>造成</w:t>
            </w:r>
            <w:r>
              <w:rPr>
                <w:rFonts w:eastAsia="仿宋_GB2312"/>
                <w:spacing w:val="10"/>
                <w:kern w:val="0"/>
                <w:szCs w:val="21"/>
                <w:lang w:val="en-US" w:bidi="ar-SA"/>
              </w:rPr>
              <w:t>影响，增加15%补种量。</w:t>
            </w:r>
          </w:p>
          <w:p>
            <w:pPr>
              <w:ind w:firstLine="422"/>
              <w:rPr>
                <w:rFonts w:eastAsia="仿宋" w:cs="Times New Roman"/>
                <w:b/>
                <w:bCs/>
                <w:sz w:val="21"/>
                <w:szCs w:val="21"/>
              </w:rPr>
            </w:pPr>
            <w:r>
              <w:rPr>
                <w:rFonts w:eastAsia="仿宋" w:cs="Times New Roman"/>
                <w:b/>
                <w:bCs/>
                <w:sz w:val="21"/>
                <w:szCs w:val="21"/>
              </w:rPr>
              <w:t>3</w:t>
            </w:r>
            <w:r>
              <w:rPr>
                <w:rFonts w:hint="eastAsia" w:eastAsia="仿宋" w:cs="Times New Roman"/>
                <w:b/>
                <w:bCs/>
                <w:sz w:val="21"/>
                <w:szCs w:val="21"/>
              </w:rPr>
              <w:t>、配套工程</w:t>
            </w:r>
          </w:p>
          <w:p>
            <w:pPr>
              <w:ind w:firstLine="420"/>
              <w:rPr>
                <w:rFonts w:eastAsia="仿宋" w:cs="Times New Roman"/>
                <w:sz w:val="21"/>
                <w:szCs w:val="21"/>
              </w:rPr>
            </w:pPr>
            <w:r>
              <w:rPr>
                <w:rFonts w:eastAsia="仿宋" w:cs="Times New Roman"/>
                <w:sz w:val="21"/>
                <w:szCs w:val="21"/>
              </w:rPr>
              <w:t>1）灌溉与排水工程</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25m</w:t>
            </w:r>
            <w:r>
              <w:rPr>
                <w:rFonts w:eastAsia="仿宋_GB2312"/>
                <w:spacing w:val="10"/>
                <w:kern w:val="0"/>
                <w:szCs w:val="21"/>
                <w:vertAlign w:val="superscript"/>
                <w:lang w:val="en-US" w:bidi="ar-SA"/>
              </w:rPr>
              <w:t>3</w:t>
            </w:r>
            <w:r>
              <w:rPr>
                <w:rFonts w:eastAsia="仿宋_GB2312"/>
                <w:spacing w:val="10"/>
                <w:kern w:val="0"/>
                <w:szCs w:val="21"/>
                <w:lang w:val="en-US" w:bidi="ar-SA"/>
              </w:rPr>
              <w:t>水窖：项目区规划25m3水窖适用布设于规划旱地区域，用于汇集天然降雨，满足农作物保苗用水，项目共规划9座水窖，水窖采用瓶形结构、全埋式设计，容积25m</w:t>
            </w:r>
            <w:r>
              <w:rPr>
                <w:rFonts w:eastAsia="仿宋_GB2312"/>
                <w:spacing w:val="10"/>
                <w:kern w:val="0"/>
                <w:szCs w:val="21"/>
                <w:vertAlign w:val="superscript"/>
                <w:lang w:val="en-US" w:bidi="ar-SA"/>
              </w:rPr>
              <w:t>3</w:t>
            </w:r>
            <w:r>
              <w:rPr>
                <w:rFonts w:eastAsia="仿宋_GB2312"/>
                <w:spacing w:val="10"/>
                <w:kern w:val="0"/>
                <w:szCs w:val="21"/>
                <w:lang w:val="en-US" w:bidi="ar-SA"/>
              </w:rPr>
              <w:t>，内径为1.7m，外径为1.9m，池深3.62m，水窖为C20砼结构，窖壁厚0.20m，窖底厚0.2m。同时每个水窖通过沉砂池进水，沉砂池尺寸为长1.5m，宽1.0m，深0.7m，沉砂池采用C20混凝土，池壁厚0.12m，池底厚0.10m，水窖与沉砂池之间用DN75PE管进行连接。</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2）修复工程</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根据项目用地实际情况，对临时用地原有沟渠及农村道路进行保留，结合实际，本复垦方案主要对占用的现状沟渠及农村道路进行优化或者保留原来其使用功能，沟渠按1m宽进行修复，农村道路结合实际按2-4m宽分别进行修复。</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3、监测工程</w:t>
            </w:r>
          </w:p>
          <w:p>
            <w:pPr>
              <w:pStyle w:val="114"/>
              <w:kinsoku w:val="0"/>
              <w:overflowPunct w:val="0"/>
              <w:autoSpaceDE w:val="0"/>
              <w:autoSpaceDN w:val="0"/>
              <w:adjustRightInd w:val="0"/>
              <w:spacing w:before="32" w:line="357" w:lineRule="auto"/>
              <w:ind w:left="108" w:right="-3" w:firstLine="420"/>
              <w:jc w:val="left"/>
              <w:rPr>
                <w:rFonts w:eastAsia="仿宋_GB2312"/>
                <w:spacing w:val="10"/>
                <w:kern w:val="0"/>
                <w:szCs w:val="21"/>
                <w:lang w:val="en-US" w:bidi="ar-SA"/>
              </w:rPr>
            </w:pPr>
            <w:r>
              <w:rPr>
                <w:rFonts w:eastAsia="仿宋_GB2312"/>
                <w:spacing w:val="10"/>
                <w:kern w:val="0"/>
                <w:szCs w:val="21"/>
                <w:lang w:val="en-US" w:bidi="ar-SA"/>
              </w:rPr>
              <w:t>主要工程量为监测工程主要为土地损毁监测和复垦效果监测，土地损毁监测布设9个监测点，每个监测点2人，监测频率为4个月一次（每年3次）。</w:t>
            </w:r>
          </w:p>
          <w:p>
            <w:pPr>
              <w:ind w:firstLine="422"/>
              <w:rPr>
                <w:rFonts w:eastAsia="仿宋" w:cs="Times New Roman"/>
                <w:b/>
                <w:bCs/>
                <w:sz w:val="21"/>
                <w:szCs w:val="21"/>
              </w:rPr>
            </w:pPr>
            <w:r>
              <w:rPr>
                <w:rFonts w:eastAsia="仿宋" w:cs="Times New Roman"/>
                <w:b/>
                <w:bCs/>
                <w:sz w:val="21"/>
                <w:szCs w:val="21"/>
              </w:rPr>
              <w:t>二、土地复垦实施保障措施</w:t>
            </w:r>
          </w:p>
          <w:p>
            <w:pPr>
              <w:ind w:firstLine="420"/>
              <w:rPr>
                <w:rFonts w:eastAsia="仿宋" w:cs="Times New Roman"/>
                <w:sz w:val="21"/>
                <w:szCs w:val="21"/>
              </w:rPr>
            </w:pPr>
            <w:r>
              <w:rPr>
                <w:rFonts w:eastAsia="仿宋" w:cs="Times New Roman"/>
                <w:sz w:val="21"/>
                <w:szCs w:val="21"/>
              </w:rPr>
              <w:t>1、组织保障措施</w:t>
            </w:r>
          </w:p>
          <w:p>
            <w:pPr>
              <w:ind w:firstLine="420"/>
              <w:rPr>
                <w:rFonts w:ascii="仿宋_GB2312" w:cs="Times New Roman"/>
                <w:sz w:val="21"/>
                <w:szCs w:val="21"/>
              </w:rPr>
            </w:pPr>
            <w:r>
              <w:rPr>
                <w:rFonts w:hint="eastAsia" w:ascii="仿宋_GB2312" w:cs="Times New Roman"/>
                <w:sz w:val="21"/>
                <w:szCs w:val="21"/>
              </w:rPr>
              <w:t>复垦方案重在落实，切实改善开发建设项目所造成的土地和生态环境破坏，审批后的方案由昆明自来水集团有限公司组织实施，并接受当地或上级土地资源主管部门的监督检查。</w:t>
            </w:r>
          </w:p>
          <w:p>
            <w:pPr>
              <w:ind w:firstLine="420"/>
              <w:rPr>
                <w:rFonts w:ascii="仿宋_GB2312" w:cs="Times New Roman"/>
                <w:sz w:val="21"/>
                <w:szCs w:val="21"/>
              </w:rPr>
            </w:pPr>
            <w:r>
              <w:rPr>
                <w:rFonts w:hint="eastAsia" w:ascii="仿宋_GB2312" w:cs="Times New Roman"/>
                <w:sz w:val="21"/>
                <w:szCs w:val="21"/>
              </w:rPr>
              <w:t>为保证全面完成各项治理措施，必须重视并完成以下工作：</w:t>
            </w:r>
          </w:p>
          <w:p>
            <w:pPr>
              <w:ind w:firstLine="420"/>
              <w:rPr>
                <w:rFonts w:ascii="仿宋_GB2312" w:cs="Times New Roman"/>
                <w:sz w:val="21"/>
                <w:szCs w:val="21"/>
              </w:rPr>
            </w:pPr>
            <w:r>
              <w:rPr>
                <w:rFonts w:hint="eastAsia" w:ascii="仿宋_GB2312" w:cs="Times New Roman"/>
                <w:sz w:val="21"/>
                <w:szCs w:val="21"/>
              </w:rPr>
              <w:t>——项目单位应健全工程项目的土地复垦组织领导体系，成立土地复垦项目领导小组，负责工程建设中的土地复垦领导、管理和实施工作，并配合地方土地行政主管部门对土地复垦实施情况进行监督和管理，同时组织学习《土地复垦条例》等有关法律法规，增强工程建设者的土地复垦意识；</w:t>
            </w:r>
          </w:p>
          <w:p>
            <w:pPr>
              <w:ind w:firstLine="420"/>
              <w:rPr>
                <w:rFonts w:ascii="仿宋_GB2312" w:cs="Times New Roman"/>
                <w:sz w:val="21"/>
                <w:szCs w:val="21"/>
              </w:rPr>
            </w:pPr>
            <w:r>
              <w:rPr>
                <w:rFonts w:hint="eastAsia" w:ascii="仿宋_GB2312" w:cs="Times New Roman"/>
                <w:sz w:val="21"/>
                <w:szCs w:val="21"/>
              </w:rPr>
              <w:t>——项目单位必须严格按照土地复垦方案的治理措施、进度安排、技术标准等要求，保质保量地完成土地复垦各项措施；当地自然资源部门定期对土地复垦方案的实施进度、质量、资金落实等情况进行实地监督、检查。在监督方法上采用建设单位定期汇报与实地检查相结合，必要时采取行政、经济、司法等多种手段促使土地复垦方案的完全落实。</w:t>
            </w:r>
          </w:p>
          <w:p>
            <w:pPr>
              <w:ind w:firstLine="420"/>
              <w:rPr>
                <w:rFonts w:ascii="仿宋_GB2312" w:cs="Times New Roman"/>
                <w:sz w:val="21"/>
                <w:szCs w:val="21"/>
              </w:rPr>
            </w:pPr>
            <w:bookmarkStart w:id="4" w:name="_Toc276727429"/>
            <w:bookmarkStart w:id="5" w:name="_Toc243664420"/>
            <w:bookmarkStart w:id="6" w:name="_Toc302425957"/>
            <w:bookmarkStart w:id="7" w:name="_Toc241836350"/>
            <w:r>
              <w:rPr>
                <w:rFonts w:hint="eastAsia" w:ascii="仿宋_GB2312" w:cs="Times New Roman"/>
                <w:sz w:val="21"/>
                <w:szCs w:val="21"/>
              </w:rPr>
              <w:t>——土地复垦方案的实施单位应主动和当地土地行政主管部门联系，接受地方土地行政监察机构对土地复垦方案实施情况的监督、检查、检疫和技术指导。认真贯彻“源头控制、预防与复垦相结合”的原则，严格监督执行土地复垦的各项工作措施。</w:t>
            </w:r>
          </w:p>
          <w:p>
            <w:pPr>
              <w:ind w:firstLine="420"/>
              <w:rPr>
                <w:rFonts w:ascii="仿宋_GB2312" w:cs="Times New Roman"/>
                <w:sz w:val="21"/>
                <w:szCs w:val="21"/>
              </w:rPr>
            </w:pPr>
            <w:r>
              <w:rPr>
                <w:rFonts w:hint="eastAsia" w:ascii="仿宋_GB2312" w:cs="Times New Roman"/>
                <w:sz w:val="21"/>
                <w:szCs w:val="21"/>
              </w:rPr>
              <w:t>——对已复垦的土地要加强管理、维护，防止其他人为破坏。</w:t>
            </w:r>
          </w:p>
          <w:bookmarkEnd w:id="4"/>
          <w:bookmarkEnd w:id="5"/>
          <w:bookmarkEnd w:id="6"/>
          <w:bookmarkEnd w:id="7"/>
          <w:p>
            <w:pPr>
              <w:ind w:firstLine="420"/>
              <w:rPr>
                <w:rFonts w:ascii="仿宋_GB2312" w:cs="Times New Roman"/>
                <w:sz w:val="21"/>
                <w:szCs w:val="21"/>
              </w:rPr>
            </w:pPr>
            <w:r>
              <w:rPr>
                <w:rFonts w:hint="eastAsia" w:ascii="仿宋_GB2312" w:cs="Times New Roman"/>
                <w:sz w:val="21"/>
                <w:szCs w:val="21"/>
              </w:rPr>
              <w:t>2费用保障措施</w:t>
            </w:r>
          </w:p>
          <w:p>
            <w:pPr>
              <w:ind w:firstLine="420"/>
              <w:rPr>
                <w:rFonts w:ascii="仿宋_GB2312" w:cs="Times New Roman"/>
                <w:sz w:val="21"/>
                <w:szCs w:val="21"/>
              </w:rPr>
            </w:pPr>
            <w:r>
              <w:rPr>
                <w:rFonts w:hint="eastAsia" w:ascii="仿宋_GB2312" w:cs="Times New Roman"/>
                <w:sz w:val="21"/>
                <w:szCs w:val="21"/>
              </w:rPr>
              <w:t>a）资金来源：本工程属建设类项目，土地复垦工程投资应在项目总投资中列支，并与主体工程建设资金同时调拨使用，同时施工、同时发挥效益；建设单位应积极开展工作，落实土地复垦资</w:t>
            </w:r>
            <w:r>
              <w:rPr>
                <w:rFonts w:ascii="仿宋_GB2312" w:cs="Times New Roman"/>
                <w:sz w:val="21"/>
                <w:szCs w:val="21"/>
              </w:rPr>
              <w:t>金，保证方案实施。</w:t>
            </w:r>
          </w:p>
          <w:p>
            <w:pPr>
              <w:pStyle w:val="114"/>
              <w:kinsoku w:val="0"/>
              <w:overflowPunct w:val="0"/>
              <w:autoSpaceDE w:val="0"/>
              <w:autoSpaceDN w:val="0"/>
              <w:adjustRightInd w:val="0"/>
              <w:spacing w:before="32" w:line="357" w:lineRule="auto"/>
              <w:ind w:left="108" w:right="-3" w:firstLine="420"/>
              <w:jc w:val="left"/>
              <w:rPr>
                <w:rFonts w:eastAsia="仿宋_GB2312"/>
                <w:kern w:val="0"/>
                <w:szCs w:val="21"/>
                <w:lang w:val="en-US" w:bidi="ar-SA"/>
              </w:rPr>
            </w:pPr>
          </w:p>
        </w:tc>
      </w:tr>
    </w:tbl>
    <w:p>
      <w:pPr>
        <w:pStyle w:val="114"/>
        <w:kinsoku w:val="0"/>
        <w:overflowPunct w:val="0"/>
        <w:autoSpaceDE w:val="0"/>
        <w:autoSpaceDN w:val="0"/>
        <w:adjustRightInd w:val="0"/>
        <w:jc w:val="left"/>
        <w:rPr>
          <w:rFonts w:ascii="仿宋_GB2312" w:eastAsia="仿宋_GB2312" w:cs="仿宋_GB2312"/>
          <w:kern w:val="0"/>
          <w:sz w:val="24"/>
          <w:szCs w:val="24"/>
          <w:lang w:val="en-US" w:bidi="ar-SA"/>
        </w:rPr>
        <w:sectPr>
          <w:pgSz w:w="11910" w:h="16840"/>
          <w:pgMar w:top="1040" w:right="560" w:bottom="280" w:left="580" w:header="858" w:footer="0" w:gutter="0"/>
          <w:cols w:space="720" w:num="1"/>
        </w:sectPr>
      </w:pPr>
    </w:p>
    <w:tbl>
      <w:tblPr>
        <w:tblStyle w:val="26"/>
        <w:tblW w:w="10760" w:type="dxa"/>
        <w:tblInd w:w="0" w:type="dxa"/>
        <w:tblLayout w:type="fixed"/>
        <w:tblCellMar>
          <w:top w:w="0" w:type="dxa"/>
          <w:left w:w="0" w:type="dxa"/>
          <w:bottom w:w="0" w:type="dxa"/>
          <w:right w:w="0" w:type="dxa"/>
        </w:tblCellMar>
      </w:tblPr>
      <w:tblGrid>
        <w:gridCol w:w="450"/>
        <w:gridCol w:w="10310"/>
      </w:tblGrid>
      <w:tr>
        <w:tblPrEx>
          <w:tblLayout w:type="fixed"/>
          <w:tblCellMar>
            <w:top w:w="0" w:type="dxa"/>
            <w:left w:w="0" w:type="dxa"/>
            <w:bottom w:w="0" w:type="dxa"/>
            <w:right w:w="0" w:type="dxa"/>
          </w:tblCellMar>
        </w:tblPrEx>
        <w:trPr>
          <w:trHeight w:val="14894" w:hRule="exact"/>
        </w:trPr>
        <w:tc>
          <w:tcPr>
            <w:tcW w:w="450" w:type="dxa"/>
            <w:tcBorders>
              <w:top w:val="single" w:color="000000" w:sz="4" w:space="0"/>
              <w:left w:val="single" w:color="000000" w:sz="4" w:space="0"/>
              <w:bottom w:val="single" w:color="000000" w:sz="4" w:space="0"/>
              <w:right w:val="single" w:color="000000" w:sz="4" w:space="0"/>
            </w:tcBorders>
            <w:vAlign w:val="center"/>
          </w:tcPr>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_GB2312"/>
                <w:kern w:val="0"/>
                <w:sz w:val="24"/>
                <w:szCs w:val="24"/>
                <w:lang w:val="en-US" w:bidi="ar-SA"/>
              </w:rPr>
            </w:pPr>
          </w:p>
          <w:p>
            <w:pPr>
              <w:pStyle w:val="114"/>
              <w:kinsoku w:val="0"/>
              <w:overflowPunct w:val="0"/>
              <w:autoSpaceDE w:val="0"/>
              <w:autoSpaceDN w:val="0"/>
              <w:adjustRightInd w:val="0"/>
              <w:jc w:val="center"/>
              <w:rPr>
                <w:rFonts w:eastAsia="仿宋"/>
              </w:rPr>
            </w:pPr>
            <w:r>
              <w:rPr>
                <w:rFonts w:eastAsia="仿宋"/>
              </w:rPr>
              <w:t>工</w:t>
            </w:r>
          </w:p>
          <w:p>
            <w:pPr>
              <w:pStyle w:val="114"/>
              <w:kinsoku w:val="0"/>
              <w:overflowPunct w:val="0"/>
              <w:autoSpaceDE w:val="0"/>
              <w:autoSpaceDN w:val="0"/>
              <w:adjustRightInd w:val="0"/>
              <w:jc w:val="center"/>
              <w:rPr>
                <w:rFonts w:eastAsia="仿宋"/>
              </w:rPr>
            </w:pPr>
            <w:r>
              <w:rPr>
                <w:rFonts w:eastAsia="仿宋"/>
              </w:rPr>
              <w:t>作</w:t>
            </w:r>
          </w:p>
          <w:p>
            <w:pPr>
              <w:pStyle w:val="114"/>
              <w:kinsoku w:val="0"/>
              <w:overflowPunct w:val="0"/>
              <w:autoSpaceDE w:val="0"/>
              <w:autoSpaceDN w:val="0"/>
              <w:adjustRightInd w:val="0"/>
              <w:jc w:val="center"/>
              <w:rPr>
                <w:rFonts w:eastAsia="仿宋"/>
              </w:rPr>
            </w:pPr>
            <w:r>
              <w:rPr>
                <w:rFonts w:eastAsia="仿宋"/>
              </w:rPr>
              <w:t>计</w:t>
            </w:r>
          </w:p>
          <w:p>
            <w:pPr>
              <w:pStyle w:val="114"/>
              <w:kinsoku w:val="0"/>
              <w:overflowPunct w:val="0"/>
              <w:autoSpaceDE w:val="0"/>
              <w:autoSpaceDN w:val="0"/>
              <w:adjustRightInd w:val="0"/>
              <w:jc w:val="center"/>
              <w:rPr>
                <w:rFonts w:eastAsia="仿宋"/>
              </w:rPr>
            </w:pPr>
            <w:r>
              <w:rPr>
                <w:rFonts w:eastAsia="仿宋"/>
              </w:rPr>
              <w:t>划</w:t>
            </w:r>
          </w:p>
          <w:p>
            <w:pPr>
              <w:pStyle w:val="114"/>
              <w:kinsoku w:val="0"/>
              <w:overflowPunct w:val="0"/>
              <w:autoSpaceDE w:val="0"/>
              <w:autoSpaceDN w:val="0"/>
              <w:adjustRightInd w:val="0"/>
              <w:jc w:val="center"/>
              <w:rPr>
                <w:rFonts w:eastAsia="仿宋"/>
              </w:rPr>
            </w:pPr>
            <w:r>
              <w:rPr>
                <w:rFonts w:eastAsia="仿宋"/>
              </w:rPr>
              <w:t>及</w:t>
            </w:r>
          </w:p>
          <w:p>
            <w:pPr>
              <w:pStyle w:val="114"/>
              <w:kinsoku w:val="0"/>
              <w:overflowPunct w:val="0"/>
              <w:autoSpaceDE w:val="0"/>
              <w:autoSpaceDN w:val="0"/>
              <w:adjustRightInd w:val="0"/>
              <w:jc w:val="center"/>
              <w:rPr>
                <w:rFonts w:eastAsia="仿宋"/>
              </w:rPr>
            </w:pPr>
            <w:r>
              <w:rPr>
                <w:rFonts w:eastAsia="仿宋"/>
              </w:rPr>
              <w:t>保</w:t>
            </w:r>
          </w:p>
          <w:p>
            <w:pPr>
              <w:pStyle w:val="114"/>
              <w:kinsoku w:val="0"/>
              <w:overflowPunct w:val="0"/>
              <w:autoSpaceDE w:val="0"/>
              <w:autoSpaceDN w:val="0"/>
              <w:adjustRightInd w:val="0"/>
              <w:jc w:val="center"/>
              <w:rPr>
                <w:rFonts w:eastAsia="仿宋"/>
              </w:rPr>
            </w:pPr>
            <w:r>
              <w:rPr>
                <w:rFonts w:eastAsia="仿宋"/>
              </w:rPr>
              <w:t>障</w:t>
            </w:r>
          </w:p>
          <w:p>
            <w:pPr>
              <w:pStyle w:val="114"/>
              <w:kinsoku w:val="0"/>
              <w:overflowPunct w:val="0"/>
              <w:autoSpaceDE w:val="0"/>
              <w:autoSpaceDN w:val="0"/>
              <w:adjustRightInd w:val="0"/>
              <w:jc w:val="center"/>
              <w:rPr>
                <w:rFonts w:eastAsia="仿宋"/>
              </w:rPr>
            </w:pPr>
            <w:r>
              <w:rPr>
                <w:rFonts w:eastAsia="仿宋"/>
              </w:rPr>
              <w:t>制</w:t>
            </w:r>
          </w:p>
          <w:p>
            <w:pPr>
              <w:pStyle w:val="114"/>
              <w:kinsoku w:val="0"/>
              <w:overflowPunct w:val="0"/>
              <w:autoSpaceDE w:val="0"/>
              <w:autoSpaceDN w:val="0"/>
              <w:adjustRightInd w:val="0"/>
              <w:jc w:val="center"/>
              <w:rPr>
                <w:rFonts w:eastAsia="仿宋_GB2312"/>
                <w:kern w:val="0"/>
                <w:sz w:val="24"/>
                <w:szCs w:val="24"/>
                <w:lang w:val="en-US" w:bidi="ar-SA"/>
              </w:rPr>
            </w:pPr>
            <w:r>
              <w:rPr>
                <w:rFonts w:eastAsia="仿宋"/>
              </w:rPr>
              <w:t>度</w:t>
            </w:r>
          </w:p>
        </w:tc>
        <w:tc>
          <w:tcPr>
            <w:tcW w:w="10310" w:type="dxa"/>
            <w:tcBorders>
              <w:top w:val="single" w:color="000000" w:sz="4" w:space="0"/>
              <w:left w:val="single" w:color="000000" w:sz="4" w:space="0"/>
              <w:bottom w:val="single" w:color="000000" w:sz="4" w:space="0"/>
              <w:right w:val="single" w:color="000000" w:sz="4" w:space="0"/>
            </w:tcBorders>
          </w:tcPr>
          <w:p>
            <w:pPr>
              <w:ind w:firstLine="420"/>
              <w:rPr>
                <w:rFonts w:cs="Times New Roman"/>
                <w:sz w:val="21"/>
                <w:szCs w:val="21"/>
              </w:rPr>
            </w:pPr>
            <w:r>
              <w:rPr>
                <w:rFonts w:cs="Times New Roman"/>
                <w:sz w:val="21"/>
                <w:szCs w:val="21"/>
              </w:rPr>
              <w:t>b）为严格资金管理使用，确保工程项目的顺利完成，组建项目资金管理领导小组，负责项目资金的支付、审批结算工作。</w:t>
            </w:r>
          </w:p>
          <w:p>
            <w:pPr>
              <w:ind w:firstLine="420"/>
              <w:rPr>
                <w:rFonts w:cs="Times New Roman"/>
                <w:sz w:val="21"/>
                <w:szCs w:val="21"/>
              </w:rPr>
            </w:pPr>
            <w:r>
              <w:rPr>
                <w:rFonts w:cs="Times New Roman"/>
                <w:sz w:val="21"/>
                <w:szCs w:val="21"/>
              </w:rPr>
              <w:t>资金的使用管理是复垦工作能否按期实施的关键，按照土地管理法规定及复垦规范标准，工程建设期限为3年以上可以进行分批次进行缴存，3年以下需要一次性进行缴存，本建设项目施工期2年，复垦费用分一次进行缴存。</w:t>
            </w:r>
          </w:p>
          <w:p>
            <w:pPr>
              <w:ind w:firstLine="420"/>
              <w:rPr>
                <w:rFonts w:cs="Times New Roman"/>
                <w:sz w:val="21"/>
                <w:szCs w:val="21"/>
              </w:rPr>
            </w:pPr>
            <w:r>
              <w:rPr>
                <w:rFonts w:cs="Times New Roman"/>
                <w:sz w:val="21"/>
                <w:szCs w:val="21"/>
              </w:rPr>
              <w:t>本复垦方案主要针对方案中重新设计相关工程进行投资费用估算，通过估算本方案静态投资398.81万元，动态总投资452.00万元。经计算复垦土地静态亩均投资为1.35万元，动态亩均投资为1.53万元。</w:t>
            </w:r>
          </w:p>
          <w:p>
            <w:pPr>
              <w:ind w:firstLine="420"/>
              <w:rPr>
                <w:rFonts w:cs="Times New Roman"/>
                <w:sz w:val="21"/>
                <w:szCs w:val="21"/>
              </w:rPr>
            </w:pPr>
            <w:r>
              <w:rPr>
                <w:rFonts w:cs="Times New Roman"/>
                <w:sz w:val="21"/>
                <w:szCs w:val="21"/>
              </w:rPr>
              <w:t>项目土地复垦费用来源于项目总投资，本方案土地复垦服务年限为6年，</w:t>
            </w:r>
            <w:bookmarkStart w:id="8" w:name="_Hlk152855405"/>
            <w:r>
              <w:rPr>
                <w:rFonts w:cs="Times New Roman"/>
                <w:sz w:val="21"/>
                <w:szCs w:val="21"/>
              </w:rPr>
              <w:t>临时用地建设及使用期2年</w:t>
            </w:r>
            <w:bookmarkEnd w:id="8"/>
            <w:r>
              <w:rPr>
                <w:rFonts w:cs="Times New Roman"/>
                <w:sz w:val="21"/>
                <w:szCs w:val="21"/>
              </w:rPr>
              <w:t>，本方案复垦费用按照动态投资进行提取，以保证复垦工作的顺利进行。</w:t>
            </w:r>
          </w:p>
          <w:p>
            <w:pPr>
              <w:spacing w:line="240" w:lineRule="auto"/>
              <w:ind w:firstLine="0" w:firstLineChars="0"/>
              <w:jc w:val="center"/>
              <w:rPr>
                <w:rFonts w:cs="Times New Roman"/>
                <w:bCs/>
                <w:sz w:val="21"/>
                <w:szCs w:val="21"/>
              </w:rPr>
            </w:pPr>
            <w:r>
              <w:rPr>
                <w:rFonts w:cs="Times New Roman"/>
                <w:bCs/>
                <w:sz w:val="21"/>
                <w:szCs w:val="21"/>
              </w:rPr>
              <w:t>表1 土地复垦费用预存及投资安排表</w:t>
            </w:r>
          </w:p>
          <w:tbl>
            <w:tblPr>
              <w:tblStyle w:val="26"/>
              <w:tblW w:w="102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950"/>
              <w:gridCol w:w="1816"/>
              <w:gridCol w:w="1454"/>
              <w:gridCol w:w="1456"/>
              <w:gridCol w:w="1021"/>
              <w:gridCol w:w="838"/>
              <w:gridCol w:w="838"/>
              <w:gridCol w:w="9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8" w:hRule="atLeast"/>
              </w:trPr>
              <w:tc>
                <w:tcPr>
                  <w:tcW w:w="948" w:type="dxa"/>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阶段</w:t>
                  </w:r>
                </w:p>
              </w:tc>
              <w:tc>
                <w:tcPr>
                  <w:tcW w:w="950" w:type="dxa"/>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总投资额（万元）</w:t>
                  </w:r>
                </w:p>
              </w:tc>
              <w:tc>
                <w:tcPr>
                  <w:tcW w:w="1816" w:type="dxa"/>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年份</w:t>
                  </w:r>
                </w:p>
              </w:tc>
              <w:tc>
                <w:tcPr>
                  <w:tcW w:w="1454" w:type="dxa"/>
                  <w:vMerge w:val="restart"/>
                  <w:vAlign w:val="center"/>
                </w:tcPr>
                <w:p>
                  <w:pPr>
                    <w:spacing w:line="240" w:lineRule="auto"/>
                    <w:ind w:firstLine="0" w:firstLineChars="0"/>
                    <w:jc w:val="center"/>
                    <w:rPr>
                      <w:rFonts w:cs="Times New Roman"/>
                      <w:sz w:val="21"/>
                      <w:szCs w:val="21"/>
                    </w:rPr>
                  </w:pPr>
                  <w:r>
                    <w:rPr>
                      <w:rFonts w:hint="eastAsia" w:cs="Times New Roman"/>
                      <w:sz w:val="21"/>
                      <w:szCs w:val="21"/>
                    </w:rPr>
                    <w:t>静态投资额度（万元）</w:t>
                  </w:r>
                </w:p>
              </w:tc>
              <w:tc>
                <w:tcPr>
                  <w:tcW w:w="1456" w:type="dxa"/>
                  <w:vMerge w:val="restart"/>
                  <w:shd w:val="clear" w:color="auto" w:fill="auto"/>
                  <w:vAlign w:val="center"/>
                </w:tcPr>
                <w:p>
                  <w:pPr>
                    <w:spacing w:line="240" w:lineRule="auto"/>
                    <w:ind w:firstLine="0" w:firstLineChars="0"/>
                    <w:jc w:val="center"/>
                    <w:rPr>
                      <w:rFonts w:cs="Times New Roman"/>
                      <w:sz w:val="21"/>
                      <w:szCs w:val="21"/>
                    </w:rPr>
                  </w:pPr>
                  <w:r>
                    <w:rPr>
                      <w:rFonts w:hint="eastAsia" w:cs="Times New Roman"/>
                      <w:sz w:val="21"/>
                      <w:szCs w:val="21"/>
                    </w:rPr>
                    <w:t>动态投资额度（万元）</w:t>
                  </w:r>
                </w:p>
              </w:tc>
              <w:tc>
                <w:tcPr>
                  <w:tcW w:w="1021"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复垦面积</w:t>
                  </w:r>
                </w:p>
              </w:tc>
              <w:tc>
                <w:tcPr>
                  <w:tcW w:w="838" w:type="dxa"/>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年度复垦费用预存额（万元）</w:t>
                  </w:r>
                </w:p>
              </w:tc>
              <w:tc>
                <w:tcPr>
                  <w:tcW w:w="838" w:type="dxa"/>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阶段复垦费用预存额（万元）</w:t>
                  </w:r>
                </w:p>
              </w:tc>
              <w:tc>
                <w:tcPr>
                  <w:tcW w:w="949" w:type="dxa"/>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预存时间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4" w:hRule="atLeast"/>
              </w:trPr>
              <w:tc>
                <w:tcPr>
                  <w:tcW w:w="948" w:type="dxa"/>
                  <w:vMerge w:val="continue"/>
                  <w:vAlign w:val="center"/>
                </w:tcPr>
                <w:p>
                  <w:pPr>
                    <w:spacing w:line="240" w:lineRule="auto"/>
                    <w:ind w:firstLine="0" w:firstLineChars="0"/>
                    <w:rPr>
                      <w:rFonts w:cs="Times New Roman"/>
                      <w:sz w:val="21"/>
                      <w:szCs w:val="21"/>
                    </w:rPr>
                  </w:pPr>
                </w:p>
              </w:tc>
              <w:tc>
                <w:tcPr>
                  <w:tcW w:w="950" w:type="dxa"/>
                  <w:vMerge w:val="continue"/>
                  <w:vAlign w:val="center"/>
                </w:tcPr>
                <w:p>
                  <w:pPr>
                    <w:spacing w:line="240" w:lineRule="auto"/>
                    <w:ind w:firstLine="0" w:firstLineChars="0"/>
                    <w:rPr>
                      <w:rFonts w:cs="Times New Roman"/>
                      <w:sz w:val="21"/>
                      <w:szCs w:val="21"/>
                    </w:rPr>
                  </w:pPr>
                </w:p>
              </w:tc>
              <w:tc>
                <w:tcPr>
                  <w:tcW w:w="1816" w:type="dxa"/>
                  <w:vMerge w:val="continue"/>
                  <w:vAlign w:val="center"/>
                </w:tcPr>
                <w:p>
                  <w:pPr>
                    <w:spacing w:line="240" w:lineRule="auto"/>
                    <w:ind w:firstLine="0" w:firstLineChars="0"/>
                    <w:rPr>
                      <w:rFonts w:cs="Times New Roman"/>
                      <w:sz w:val="21"/>
                      <w:szCs w:val="21"/>
                    </w:rPr>
                  </w:pPr>
                </w:p>
              </w:tc>
              <w:tc>
                <w:tcPr>
                  <w:tcW w:w="1454" w:type="dxa"/>
                  <w:vMerge w:val="continue"/>
                </w:tcPr>
                <w:p>
                  <w:pPr>
                    <w:spacing w:line="240" w:lineRule="auto"/>
                    <w:ind w:firstLine="0" w:firstLineChars="0"/>
                    <w:rPr>
                      <w:rFonts w:cs="Times New Roman"/>
                      <w:sz w:val="21"/>
                      <w:szCs w:val="21"/>
                    </w:rPr>
                  </w:pPr>
                </w:p>
              </w:tc>
              <w:tc>
                <w:tcPr>
                  <w:tcW w:w="1456" w:type="dxa"/>
                  <w:vMerge w:val="continue"/>
                  <w:vAlign w:val="center"/>
                </w:tcPr>
                <w:p>
                  <w:pPr>
                    <w:spacing w:line="240" w:lineRule="auto"/>
                    <w:ind w:firstLine="0" w:firstLineChars="0"/>
                    <w:rPr>
                      <w:rFonts w:cs="Times New Roman"/>
                      <w:sz w:val="21"/>
                      <w:szCs w:val="21"/>
                    </w:rPr>
                  </w:pPr>
                </w:p>
              </w:tc>
              <w:tc>
                <w:tcPr>
                  <w:tcW w:w="1021"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（hm²）</w:t>
                  </w:r>
                </w:p>
              </w:tc>
              <w:tc>
                <w:tcPr>
                  <w:tcW w:w="838" w:type="dxa"/>
                  <w:vMerge w:val="continue"/>
                  <w:vAlign w:val="center"/>
                </w:tcPr>
                <w:p>
                  <w:pPr>
                    <w:spacing w:line="240" w:lineRule="auto"/>
                    <w:ind w:firstLine="0" w:firstLineChars="0"/>
                    <w:rPr>
                      <w:rFonts w:cs="Times New Roman"/>
                      <w:sz w:val="21"/>
                      <w:szCs w:val="21"/>
                    </w:rPr>
                  </w:pPr>
                </w:p>
              </w:tc>
              <w:tc>
                <w:tcPr>
                  <w:tcW w:w="838" w:type="dxa"/>
                  <w:vMerge w:val="continue"/>
                  <w:vAlign w:val="center"/>
                </w:tcPr>
                <w:p>
                  <w:pPr>
                    <w:spacing w:line="240" w:lineRule="auto"/>
                    <w:ind w:firstLine="0" w:firstLineChars="0"/>
                    <w:rPr>
                      <w:rFonts w:cs="Times New Roman"/>
                      <w:sz w:val="21"/>
                      <w:szCs w:val="21"/>
                    </w:rPr>
                  </w:pPr>
                </w:p>
              </w:tc>
              <w:tc>
                <w:tcPr>
                  <w:tcW w:w="949" w:type="dxa"/>
                  <w:vMerge w:val="continue"/>
                  <w:vAlign w:val="center"/>
                </w:tcPr>
                <w:p>
                  <w:pPr>
                    <w:spacing w:line="240" w:lineRule="auto"/>
                    <w:ind w:firstLine="0" w:firstLineChars="0"/>
                    <w:rPr>
                      <w:rFonts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948" w:type="dxa"/>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第一阶段</w:t>
                  </w:r>
                </w:p>
              </w:tc>
              <w:tc>
                <w:tcPr>
                  <w:tcW w:w="950" w:type="dxa"/>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 xml:space="preserve">452.00 </w:t>
                  </w:r>
                </w:p>
              </w:tc>
              <w:tc>
                <w:tcPr>
                  <w:tcW w:w="1816" w:type="dxa"/>
                  <w:shd w:val="clear" w:color="000000" w:fill="FFFFFF"/>
                  <w:noWrap/>
                  <w:vAlign w:val="center"/>
                </w:tcPr>
                <w:p>
                  <w:pPr>
                    <w:spacing w:line="240" w:lineRule="auto"/>
                    <w:ind w:firstLine="0" w:firstLineChars="0"/>
                    <w:jc w:val="center"/>
                    <w:rPr>
                      <w:rFonts w:cs="Times New Roman"/>
                      <w:sz w:val="22"/>
                      <w:szCs w:val="22"/>
                    </w:rPr>
                  </w:pPr>
                  <w:r>
                    <w:rPr>
                      <w:rFonts w:cs="Times New Roman"/>
                      <w:sz w:val="22"/>
                      <w:szCs w:val="22"/>
                    </w:rPr>
                    <w:t>2023.12-2024.11</w:t>
                  </w:r>
                </w:p>
              </w:tc>
              <w:tc>
                <w:tcPr>
                  <w:tcW w:w="1454" w:type="dxa"/>
                  <w:shd w:val="clear" w:color="000000" w:fill="FFFFFF"/>
                  <w:vAlign w:val="center"/>
                </w:tcPr>
                <w:p>
                  <w:pPr>
                    <w:spacing w:line="240" w:lineRule="auto"/>
                    <w:ind w:firstLine="0" w:firstLineChars="0"/>
                    <w:jc w:val="center"/>
                    <w:rPr>
                      <w:rFonts w:cs="Times New Roman"/>
                      <w:sz w:val="22"/>
                      <w:szCs w:val="22"/>
                    </w:rPr>
                  </w:pPr>
                  <w:r>
                    <w:rPr>
                      <w:rFonts w:cs="Times New Roman"/>
                      <w:sz w:val="22"/>
                      <w:szCs w:val="22"/>
                    </w:rPr>
                    <w:t xml:space="preserve">97.70 </w:t>
                  </w:r>
                </w:p>
              </w:tc>
              <w:tc>
                <w:tcPr>
                  <w:tcW w:w="1456" w:type="dxa"/>
                  <w:shd w:val="clear" w:color="000000" w:fill="FFFFFF"/>
                  <w:noWrap/>
                  <w:vAlign w:val="center"/>
                </w:tcPr>
                <w:p>
                  <w:pPr>
                    <w:spacing w:line="240" w:lineRule="auto"/>
                    <w:ind w:firstLine="0" w:firstLineChars="0"/>
                    <w:jc w:val="center"/>
                    <w:rPr>
                      <w:rFonts w:cs="Times New Roman"/>
                      <w:sz w:val="22"/>
                      <w:szCs w:val="22"/>
                    </w:rPr>
                  </w:pPr>
                  <w:r>
                    <w:rPr>
                      <w:rFonts w:cs="Times New Roman"/>
                      <w:sz w:val="22"/>
                      <w:szCs w:val="22"/>
                    </w:rPr>
                    <w:t xml:space="preserve">97.70 </w:t>
                  </w:r>
                </w:p>
              </w:tc>
              <w:tc>
                <w:tcPr>
                  <w:tcW w:w="1021" w:type="dxa"/>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 xml:space="preserve">19.6810 </w:t>
                  </w:r>
                </w:p>
              </w:tc>
              <w:tc>
                <w:tcPr>
                  <w:tcW w:w="838"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 xml:space="preserve">452.00 </w:t>
                  </w:r>
                </w:p>
              </w:tc>
              <w:tc>
                <w:tcPr>
                  <w:tcW w:w="838" w:type="dxa"/>
                  <w:vMerge w:val="restar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 xml:space="preserve">452.00 </w:t>
                  </w:r>
                </w:p>
              </w:tc>
              <w:tc>
                <w:tcPr>
                  <w:tcW w:w="949"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2023.12月前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948" w:type="dxa"/>
                  <w:vMerge w:val="continue"/>
                  <w:vAlign w:val="center"/>
                </w:tcPr>
                <w:p>
                  <w:pPr>
                    <w:spacing w:line="240" w:lineRule="auto"/>
                    <w:ind w:firstLine="0" w:firstLineChars="0"/>
                    <w:rPr>
                      <w:rFonts w:cs="Times New Roman"/>
                      <w:sz w:val="21"/>
                      <w:szCs w:val="21"/>
                    </w:rPr>
                  </w:pPr>
                </w:p>
              </w:tc>
              <w:tc>
                <w:tcPr>
                  <w:tcW w:w="950" w:type="dxa"/>
                  <w:vMerge w:val="continue"/>
                  <w:vAlign w:val="center"/>
                </w:tcPr>
                <w:p>
                  <w:pPr>
                    <w:spacing w:line="240" w:lineRule="auto"/>
                    <w:ind w:firstLine="0" w:firstLineChars="0"/>
                    <w:rPr>
                      <w:rFonts w:cs="Times New Roman"/>
                      <w:sz w:val="21"/>
                      <w:szCs w:val="21"/>
                    </w:rPr>
                  </w:pPr>
                </w:p>
              </w:tc>
              <w:tc>
                <w:tcPr>
                  <w:tcW w:w="1816" w:type="dxa"/>
                  <w:shd w:val="clear" w:color="000000" w:fill="FFFFFF"/>
                  <w:noWrap/>
                  <w:vAlign w:val="center"/>
                </w:tcPr>
                <w:p>
                  <w:pPr>
                    <w:spacing w:line="240" w:lineRule="auto"/>
                    <w:ind w:firstLine="0" w:firstLineChars="0"/>
                    <w:jc w:val="center"/>
                    <w:rPr>
                      <w:rFonts w:cs="Times New Roman"/>
                      <w:sz w:val="22"/>
                      <w:szCs w:val="22"/>
                    </w:rPr>
                  </w:pPr>
                  <w:r>
                    <w:rPr>
                      <w:rFonts w:cs="Times New Roman"/>
                      <w:sz w:val="22"/>
                      <w:szCs w:val="22"/>
                    </w:rPr>
                    <w:t>2024.12-2025.11</w:t>
                  </w:r>
                </w:p>
              </w:tc>
              <w:tc>
                <w:tcPr>
                  <w:tcW w:w="1454" w:type="dxa"/>
                  <w:shd w:val="clear" w:color="000000" w:fill="FFFFFF"/>
                  <w:vAlign w:val="center"/>
                </w:tcPr>
                <w:p>
                  <w:pPr>
                    <w:spacing w:line="240" w:lineRule="auto"/>
                    <w:ind w:firstLine="0" w:firstLineChars="0"/>
                    <w:jc w:val="center"/>
                    <w:rPr>
                      <w:rFonts w:cs="Times New Roman"/>
                      <w:sz w:val="22"/>
                      <w:szCs w:val="22"/>
                    </w:rPr>
                  </w:pPr>
                  <w:r>
                    <w:rPr>
                      <w:rFonts w:cs="Times New Roman"/>
                      <w:sz w:val="22"/>
                      <w:szCs w:val="22"/>
                    </w:rPr>
                    <w:t xml:space="preserve">20.30 </w:t>
                  </w:r>
                </w:p>
              </w:tc>
              <w:tc>
                <w:tcPr>
                  <w:tcW w:w="1456" w:type="dxa"/>
                  <w:shd w:val="clear" w:color="000000" w:fill="FFFFFF"/>
                  <w:noWrap/>
                  <w:vAlign w:val="center"/>
                </w:tcPr>
                <w:p>
                  <w:pPr>
                    <w:spacing w:line="240" w:lineRule="auto"/>
                    <w:ind w:firstLine="0" w:firstLineChars="0"/>
                    <w:jc w:val="center"/>
                    <w:rPr>
                      <w:rFonts w:cs="Times New Roman"/>
                      <w:sz w:val="22"/>
                      <w:szCs w:val="22"/>
                    </w:rPr>
                  </w:pPr>
                  <w:r>
                    <w:rPr>
                      <w:rFonts w:cs="Times New Roman"/>
                      <w:sz w:val="22"/>
                      <w:szCs w:val="22"/>
                    </w:rPr>
                    <w:t xml:space="preserve">21.72 </w:t>
                  </w:r>
                </w:p>
              </w:tc>
              <w:tc>
                <w:tcPr>
                  <w:tcW w:w="1021" w:type="dxa"/>
                  <w:vMerge w:val="continue"/>
                  <w:vAlign w:val="center"/>
                </w:tcPr>
                <w:p>
                  <w:pPr>
                    <w:spacing w:line="240" w:lineRule="auto"/>
                    <w:ind w:firstLine="0" w:firstLineChars="0"/>
                    <w:rPr>
                      <w:rFonts w:cs="Times New Roman"/>
                      <w:sz w:val="21"/>
                      <w:szCs w:val="21"/>
                    </w:rPr>
                  </w:pPr>
                </w:p>
              </w:tc>
              <w:tc>
                <w:tcPr>
                  <w:tcW w:w="838"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838" w:type="dxa"/>
                  <w:vMerge w:val="continue"/>
                  <w:vAlign w:val="center"/>
                </w:tcPr>
                <w:p>
                  <w:pPr>
                    <w:spacing w:line="240" w:lineRule="auto"/>
                    <w:ind w:firstLine="0" w:firstLineChars="0"/>
                    <w:rPr>
                      <w:rFonts w:cs="Times New Roman"/>
                      <w:sz w:val="21"/>
                      <w:szCs w:val="21"/>
                    </w:rPr>
                  </w:pPr>
                </w:p>
              </w:tc>
              <w:tc>
                <w:tcPr>
                  <w:tcW w:w="949"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trPr>
              <w:tc>
                <w:tcPr>
                  <w:tcW w:w="948" w:type="dxa"/>
                  <w:vMerge w:val="continue"/>
                  <w:vAlign w:val="center"/>
                </w:tcPr>
                <w:p>
                  <w:pPr>
                    <w:spacing w:line="240" w:lineRule="auto"/>
                    <w:ind w:firstLine="0" w:firstLineChars="0"/>
                    <w:rPr>
                      <w:rFonts w:cs="Times New Roman"/>
                      <w:sz w:val="21"/>
                      <w:szCs w:val="21"/>
                    </w:rPr>
                  </w:pPr>
                </w:p>
              </w:tc>
              <w:tc>
                <w:tcPr>
                  <w:tcW w:w="950" w:type="dxa"/>
                  <w:vMerge w:val="continue"/>
                  <w:vAlign w:val="center"/>
                </w:tcPr>
                <w:p>
                  <w:pPr>
                    <w:spacing w:line="240" w:lineRule="auto"/>
                    <w:ind w:firstLine="0" w:firstLineChars="0"/>
                    <w:rPr>
                      <w:rFonts w:cs="Times New Roman"/>
                      <w:sz w:val="21"/>
                      <w:szCs w:val="21"/>
                    </w:rPr>
                  </w:pPr>
                </w:p>
              </w:tc>
              <w:tc>
                <w:tcPr>
                  <w:tcW w:w="1816" w:type="dxa"/>
                  <w:shd w:val="clear" w:color="000000" w:fill="FFFFFF"/>
                  <w:noWrap/>
                  <w:vAlign w:val="center"/>
                </w:tcPr>
                <w:p>
                  <w:pPr>
                    <w:spacing w:line="240" w:lineRule="auto"/>
                    <w:ind w:firstLine="0" w:firstLineChars="0"/>
                    <w:jc w:val="center"/>
                    <w:rPr>
                      <w:rFonts w:cs="Times New Roman"/>
                      <w:sz w:val="22"/>
                      <w:szCs w:val="22"/>
                    </w:rPr>
                  </w:pPr>
                  <w:r>
                    <w:rPr>
                      <w:rFonts w:cs="Times New Roman"/>
                      <w:sz w:val="22"/>
                      <w:szCs w:val="22"/>
                    </w:rPr>
                    <w:t>2025.12-2026.11</w:t>
                  </w:r>
                </w:p>
              </w:tc>
              <w:tc>
                <w:tcPr>
                  <w:tcW w:w="1454" w:type="dxa"/>
                  <w:shd w:val="clear" w:color="000000" w:fill="FFFFFF"/>
                  <w:vAlign w:val="center"/>
                </w:tcPr>
                <w:p>
                  <w:pPr>
                    <w:spacing w:line="240" w:lineRule="auto"/>
                    <w:ind w:firstLine="0" w:firstLineChars="0"/>
                    <w:jc w:val="center"/>
                    <w:rPr>
                      <w:rFonts w:cs="Times New Roman"/>
                      <w:sz w:val="22"/>
                      <w:szCs w:val="22"/>
                    </w:rPr>
                  </w:pPr>
                  <w:r>
                    <w:rPr>
                      <w:rFonts w:cs="Times New Roman"/>
                      <w:sz w:val="22"/>
                      <w:szCs w:val="22"/>
                    </w:rPr>
                    <w:t xml:space="preserve">214.87 </w:t>
                  </w:r>
                </w:p>
              </w:tc>
              <w:tc>
                <w:tcPr>
                  <w:tcW w:w="1456" w:type="dxa"/>
                  <w:shd w:val="clear" w:color="000000" w:fill="FFFFFF"/>
                  <w:noWrap/>
                  <w:vAlign w:val="center"/>
                </w:tcPr>
                <w:p>
                  <w:pPr>
                    <w:spacing w:line="240" w:lineRule="auto"/>
                    <w:ind w:firstLine="0" w:firstLineChars="0"/>
                    <w:jc w:val="center"/>
                    <w:rPr>
                      <w:rFonts w:cs="Times New Roman"/>
                      <w:sz w:val="22"/>
                      <w:szCs w:val="22"/>
                    </w:rPr>
                  </w:pPr>
                  <w:r>
                    <w:rPr>
                      <w:rFonts w:cs="Times New Roman"/>
                      <w:sz w:val="22"/>
                      <w:szCs w:val="22"/>
                    </w:rPr>
                    <w:t xml:space="preserve">246.00 </w:t>
                  </w:r>
                </w:p>
              </w:tc>
              <w:tc>
                <w:tcPr>
                  <w:tcW w:w="1021" w:type="dxa"/>
                  <w:vMerge w:val="continue"/>
                  <w:vAlign w:val="center"/>
                </w:tcPr>
                <w:p>
                  <w:pPr>
                    <w:spacing w:line="240" w:lineRule="auto"/>
                    <w:ind w:firstLine="0" w:firstLineChars="0"/>
                    <w:rPr>
                      <w:rFonts w:cs="Times New Roman"/>
                      <w:sz w:val="21"/>
                      <w:szCs w:val="21"/>
                    </w:rPr>
                  </w:pPr>
                </w:p>
              </w:tc>
              <w:tc>
                <w:tcPr>
                  <w:tcW w:w="838"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838" w:type="dxa"/>
                  <w:vMerge w:val="continue"/>
                  <w:vAlign w:val="center"/>
                </w:tcPr>
                <w:p>
                  <w:pPr>
                    <w:spacing w:line="240" w:lineRule="auto"/>
                    <w:ind w:firstLine="0" w:firstLineChars="0"/>
                    <w:rPr>
                      <w:rFonts w:cs="Times New Roman"/>
                      <w:sz w:val="21"/>
                      <w:szCs w:val="21"/>
                    </w:rPr>
                  </w:pPr>
                </w:p>
              </w:tc>
              <w:tc>
                <w:tcPr>
                  <w:tcW w:w="949"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948" w:type="dxa"/>
                  <w:vMerge w:val="continue"/>
                  <w:vAlign w:val="center"/>
                </w:tcPr>
                <w:p>
                  <w:pPr>
                    <w:spacing w:line="240" w:lineRule="auto"/>
                    <w:ind w:firstLine="0" w:firstLineChars="0"/>
                    <w:rPr>
                      <w:rFonts w:cs="Times New Roman"/>
                      <w:sz w:val="21"/>
                      <w:szCs w:val="21"/>
                    </w:rPr>
                  </w:pPr>
                </w:p>
              </w:tc>
              <w:tc>
                <w:tcPr>
                  <w:tcW w:w="950" w:type="dxa"/>
                  <w:vMerge w:val="continue"/>
                  <w:vAlign w:val="center"/>
                </w:tcPr>
                <w:p>
                  <w:pPr>
                    <w:spacing w:line="240" w:lineRule="auto"/>
                    <w:ind w:firstLine="0" w:firstLineChars="0"/>
                    <w:rPr>
                      <w:rFonts w:cs="Times New Roman"/>
                      <w:sz w:val="21"/>
                      <w:szCs w:val="21"/>
                    </w:rPr>
                  </w:pPr>
                </w:p>
              </w:tc>
              <w:tc>
                <w:tcPr>
                  <w:tcW w:w="1816" w:type="dxa"/>
                  <w:shd w:val="clear" w:color="000000" w:fill="FFFFFF"/>
                  <w:noWrap/>
                  <w:vAlign w:val="center"/>
                </w:tcPr>
                <w:p>
                  <w:pPr>
                    <w:spacing w:line="240" w:lineRule="auto"/>
                    <w:ind w:firstLine="0" w:firstLineChars="0"/>
                    <w:jc w:val="center"/>
                    <w:rPr>
                      <w:rFonts w:cs="Times New Roman"/>
                      <w:sz w:val="22"/>
                      <w:szCs w:val="22"/>
                    </w:rPr>
                  </w:pPr>
                  <w:r>
                    <w:rPr>
                      <w:rFonts w:cs="Times New Roman"/>
                      <w:sz w:val="22"/>
                      <w:szCs w:val="22"/>
                    </w:rPr>
                    <w:t>2026.12-2027.11</w:t>
                  </w:r>
                </w:p>
              </w:tc>
              <w:tc>
                <w:tcPr>
                  <w:tcW w:w="1454" w:type="dxa"/>
                  <w:shd w:val="clear" w:color="000000" w:fill="FFFFFF"/>
                  <w:vAlign w:val="center"/>
                </w:tcPr>
                <w:p>
                  <w:pPr>
                    <w:spacing w:line="240" w:lineRule="auto"/>
                    <w:ind w:firstLine="0" w:firstLineChars="0"/>
                    <w:jc w:val="center"/>
                    <w:rPr>
                      <w:rFonts w:cs="Times New Roman"/>
                      <w:sz w:val="22"/>
                      <w:szCs w:val="22"/>
                    </w:rPr>
                  </w:pPr>
                  <w:r>
                    <w:rPr>
                      <w:rFonts w:cs="Times New Roman"/>
                      <w:sz w:val="22"/>
                      <w:szCs w:val="22"/>
                    </w:rPr>
                    <w:t xml:space="preserve">21.98 </w:t>
                  </w:r>
                </w:p>
              </w:tc>
              <w:tc>
                <w:tcPr>
                  <w:tcW w:w="1456" w:type="dxa"/>
                  <w:shd w:val="clear" w:color="000000" w:fill="FFFFFF"/>
                  <w:noWrap/>
                  <w:vAlign w:val="center"/>
                </w:tcPr>
                <w:p>
                  <w:pPr>
                    <w:spacing w:line="240" w:lineRule="auto"/>
                    <w:ind w:firstLine="0" w:firstLineChars="0"/>
                    <w:jc w:val="center"/>
                    <w:rPr>
                      <w:rFonts w:cs="Times New Roman"/>
                      <w:sz w:val="22"/>
                      <w:szCs w:val="22"/>
                    </w:rPr>
                  </w:pPr>
                  <w:r>
                    <w:rPr>
                      <w:rFonts w:cs="Times New Roman"/>
                      <w:sz w:val="22"/>
                      <w:szCs w:val="22"/>
                    </w:rPr>
                    <w:t xml:space="preserve">26.93 </w:t>
                  </w:r>
                </w:p>
              </w:tc>
              <w:tc>
                <w:tcPr>
                  <w:tcW w:w="1021" w:type="dxa"/>
                  <w:vMerge w:val="continue"/>
                  <w:vAlign w:val="center"/>
                </w:tcPr>
                <w:p>
                  <w:pPr>
                    <w:spacing w:line="240" w:lineRule="auto"/>
                    <w:ind w:firstLine="0" w:firstLineChars="0"/>
                    <w:rPr>
                      <w:rFonts w:cs="Times New Roman"/>
                      <w:sz w:val="21"/>
                      <w:szCs w:val="21"/>
                    </w:rPr>
                  </w:pPr>
                </w:p>
              </w:tc>
              <w:tc>
                <w:tcPr>
                  <w:tcW w:w="838"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838" w:type="dxa"/>
                  <w:vMerge w:val="continue"/>
                  <w:vAlign w:val="center"/>
                </w:tcPr>
                <w:p>
                  <w:pPr>
                    <w:spacing w:line="240" w:lineRule="auto"/>
                    <w:ind w:firstLine="0" w:firstLineChars="0"/>
                    <w:rPr>
                      <w:rFonts w:cs="Times New Roman"/>
                      <w:sz w:val="21"/>
                      <w:szCs w:val="21"/>
                    </w:rPr>
                  </w:pPr>
                </w:p>
              </w:tc>
              <w:tc>
                <w:tcPr>
                  <w:tcW w:w="949"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948" w:type="dxa"/>
                  <w:vMerge w:val="continue"/>
                  <w:vAlign w:val="center"/>
                </w:tcPr>
                <w:p>
                  <w:pPr>
                    <w:spacing w:line="240" w:lineRule="auto"/>
                    <w:ind w:firstLine="0" w:firstLineChars="0"/>
                    <w:rPr>
                      <w:rFonts w:cs="Times New Roman"/>
                      <w:sz w:val="21"/>
                      <w:szCs w:val="21"/>
                    </w:rPr>
                  </w:pPr>
                </w:p>
              </w:tc>
              <w:tc>
                <w:tcPr>
                  <w:tcW w:w="950" w:type="dxa"/>
                  <w:vMerge w:val="continue"/>
                  <w:vAlign w:val="center"/>
                </w:tcPr>
                <w:p>
                  <w:pPr>
                    <w:spacing w:line="240" w:lineRule="auto"/>
                    <w:ind w:firstLine="0" w:firstLineChars="0"/>
                    <w:rPr>
                      <w:rFonts w:cs="Times New Roman"/>
                      <w:sz w:val="21"/>
                      <w:szCs w:val="21"/>
                    </w:rPr>
                  </w:pPr>
                </w:p>
              </w:tc>
              <w:tc>
                <w:tcPr>
                  <w:tcW w:w="1816" w:type="dxa"/>
                  <w:shd w:val="clear" w:color="000000" w:fill="FFFFFF"/>
                  <w:noWrap/>
                  <w:vAlign w:val="center"/>
                </w:tcPr>
                <w:p>
                  <w:pPr>
                    <w:spacing w:line="240" w:lineRule="auto"/>
                    <w:ind w:firstLine="0" w:firstLineChars="0"/>
                    <w:jc w:val="center"/>
                    <w:rPr>
                      <w:rFonts w:cs="Times New Roman"/>
                      <w:sz w:val="22"/>
                      <w:szCs w:val="22"/>
                    </w:rPr>
                  </w:pPr>
                  <w:r>
                    <w:rPr>
                      <w:rFonts w:cs="Times New Roman"/>
                      <w:sz w:val="22"/>
                      <w:szCs w:val="22"/>
                    </w:rPr>
                    <w:t>2027.12-2028.11</w:t>
                  </w:r>
                </w:p>
              </w:tc>
              <w:tc>
                <w:tcPr>
                  <w:tcW w:w="1454" w:type="dxa"/>
                  <w:shd w:val="clear" w:color="000000" w:fill="FFFFFF"/>
                  <w:vAlign w:val="center"/>
                </w:tcPr>
                <w:p>
                  <w:pPr>
                    <w:spacing w:line="240" w:lineRule="auto"/>
                    <w:ind w:firstLine="0" w:firstLineChars="0"/>
                    <w:jc w:val="center"/>
                    <w:rPr>
                      <w:rFonts w:cs="Times New Roman"/>
                      <w:sz w:val="22"/>
                      <w:szCs w:val="22"/>
                    </w:rPr>
                  </w:pPr>
                  <w:r>
                    <w:rPr>
                      <w:rFonts w:cs="Times New Roman"/>
                      <w:sz w:val="22"/>
                      <w:szCs w:val="22"/>
                    </w:rPr>
                    <w:t xml:space="preserve">21.98 </w:t>
                  </w:r>
                </w:p>
              </w:tc>
              <w:tc>
                <w:tcPr>
                  <w:tcW w:w="1456" w:type="dxa"/>
                  <w:shd w:val="clear" w:color="000000" w:fill="FFFFFF"/>
                  <w:noWrap/>
                  <w:vAlign w:val="center"/>
                </w:tcPr>
                <w:p>
                  <w:pPr>
                    <w:spacing w:line="240" w:lineRule="auto"/>
                    <w:ind w:firstLine="0" w:firstLineChars="0"/>
                    <w:jc w:val="center"/>
                    <w:rPr>
                      <w:rFonts w:cs="Times New Roman"/>
                      <w:sz w:val="22"/>
                      <w:szCs w:val="22"/>
                    </w:rPr>
                  </w:pPr>
                  <w:r>
                    <w:rPr>
                      <w:rFonts w:cs="Times New Roman"/>
                      <w:sz w:val="22"/>
                      <w:szCs w:val="22"/>
                    </w:rPr>
                    <w:t xml:space="preserve">28.82 </w:t>
                  </w:r>
                </w:p>
              </w:tc>
              <w:tc>
                <w:tcPr>
                  <w:tcW w:w="1021" w:type="dxa"/>
                  <w:vMerge w:val="continue"/>
                  <w:vAlign w:val="center"/>
                </w:tcPr>
                <w:p>
                  <w:pPr>
                    <w:spacing w:line="240" w:lineRule="auto"/>
                    <w:ind w:firstLine="0" w:firstLineChars="0"/>
                    <w:rPr>
                      <w:rFonts w:cs="Times New Roman"/>
                      <w:sz w:val="21"/>
                      <w:szCs w:val="21"/>
                    </w:rPr>
                  </w:pPr>
                </w:p>
              </w:tc>
              <w:tc>
                <w:tcPr>
                  <w:tcW w:w="838"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　</w:t>
                  </w:r>
                </w:p>
              </w:tc>
              <w:tc>
                <w:tcPr>
                  <w:tcW w:w="838" w:type="dxa"/>
                  <w:vMerge w:val="continue"/>
                  <w:vAlign w:val="center"/>
                </w:tcPr>
                <w:p>
                  <w:pPr>
                    <w:spacing w:line="240" w:lineRule="auto"/>
                    <w:ind w:firstLine="0" w:firstLineChars="0"/>
                    <w:rPr>
                      <w:rFonts w:cs="Times New Roman"/>
                      <w:sz w:val="21"/>
                      <w:szCs w:val="21"/>
                    </w:rPr>
                  </w:pPr>
                </w:p>
              </w:tc>
              <w:tc>
                <w:tcPr>
                  <w:tcW w:w="949"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948" w:type="dxa"/>
                  <w:vMerge w:val="continue"/>
                  <w:vAlign w:val="center"/>
                </w:tcPr>
                <w:p>
                  <w:pPr>
                    <w:spacing w:line="240" w:lineRule="auto"/>
                    <w:ind w:firstLine="0" w:firstLineChars="0"/>
                    <w:rPr>
                      <w:rFonts w:cs="Times New Roman"/>
                      <w:sz w:val="21"/>
                      <w:szCs w:val="21"/>
                    </w:rPr>
                  </w:pPr>
                </w:p>
              </w:tc>
              <w:tc>
                <w:tcPr>
                  <w:tcW w:w="950" w:type="dxa"/>
                  <w:vMerge w:val="continue"/>
                  <w:vAlign w:val="center"/>
                </w:tcPr>
                <w:p>
                  <w:pPr>
                    <w:spacing w:line="240" w:lineRule="auto"/>
                    <w:ind w:firstLine="0" w:firstLineChars="0"/>
                    <w:rPr>
                      <w:rFonts w:cs="Times New Roman"/>
                      <w:sz w:val="21"/>
                      <w:szCs w:val="21"/>
                    </w:rPr>
                  </w:pPr>
                </w:p>
              </w:tc>
              <w:tc>
                <w:tcPr>
                  <w:tcW w:w="1816" w:type="dxa"/>
                  <w:shd w:val="clear" w:color="000000" w:fill="FFFFFF"/>
                  <w:noWrap/>
                  <w:vAlign w:val="center"/>
                </w:tcPr>
                <w:p>
                  <w:pPr>
                    <w:spacing w:line="240" w:lineRule="auto"/>
                    <w:ind w:firstLine="0" w:firstLineChars="0"/>
                    <w:jc w:val="center"/>
                    <w:rPr>
                      <w:rFonts w:cs="Times New Roman"/>
                      <w:sz w:val="22"/>
                      <w:szCs w:val="22"/>
                    </w:rPr>
                  </w:pPr>
                  <w:r>
                    <w:rPr>
                      <w:rFonts w:cs="Times New Roman"/>
                      <w:sz w:val="22"/>
                      <w:szCs w:val="22"/>
                    </w:rPr>
                    <w:t>2028.12-2029.11</w:t>
                  </w:r>
                </w:p>
              </w:tc>
              <w:tc>
                <w:tcPr>
                  <w:tcW w:w="1454" w:type="dxa"/>
                  <w:shd w:val="clear" w:color="000000" w:fill="FFFFFF"/>
                  <w:vAlign w:val="center"/>
                </w:tcPr>
                <w:p>
                  <w:pPr>
                    <w:spacing w:line="240" w:lineRule="auto"/>
                    <w:ind w:firstLine="0" w:firstLineChars="0"/>
                    <w:jc w:val="center"/>
                    <w:rPr>
                      <w:rFonts w:cs="Times New Roman"/>
                      <w:sz w:val="22"/>
                      <w:szCs w:val="22"/>
                    </w:rPr>
                  </w:pPr>
                  <w:r>
                    <w:rPr>
                      <w:rFonts w:cs="Times New Roman"/>
                      <w:sz w:val="22"/>
                      <w:szCs w:val="22"/>
                    </w:rPr>
                    <w:t xml:space="preserve">21.98 </w:t>
                  </w:r>
                </w:p>
              </w:tc>
              <w:tc>
                <w:tcPr>
                  <w:tcW w:w="1456" w:type="dxa"/>
                  <w:shd w:val="clear" w:color="000000" w:fill="FFFFFF"/>
                  <w:noWrap/>
                  <w:vAlign w:val="center"/>
                </w:tcPr>
                <w:p>
                  <w:pPr>
                    <w:spacing w:line="240" w:lineRule="auto"/>
                    <w:ind w:firstLine="0" w:firstLineChars="0"/>
                    <w:jc w:val="center"/>
                    <w:rPr>
                      <w:rFonts w:cs="Times New Roman"/>
                      <w:sz w:val="22"/>
                      <w:szCs w:val="22"/>
                    </w:rPr>
                  </w:pPr>
                  <w:r>
                    <w:rPr>
                      <w:rFonts w:cs="Times New Roman"/>
                      <w:sz w:val="22"/>
                      <w:szCs w:val="22"/>
                    </w:rPr>
                    <w:t xml:space="preserve">30.83 </w:t>
                  </w:r>
                </w:p>
              </w:tc>
              <w:tc>
                <w:tcPr>
                  <w:tcW w:w="1021" w:type="dxa"/>
                  <w:vMerge w:val="continue"/>
                  <w:vAlign w:val="center"/>
                </w:tcPr>
                <w:p>
                  <w:pPr>
                    <w:spacing w:line="240" w:lineRule="auto"/>
                    <w:ind w:firstLine="0" w:firstLineChars="0"/>
                    <w:rPr>
                      <w:rFonts w:cs="Times New Roman"/>
                      <w:sz w:val="21"/>
                      <w:szCs w:val="21"/>
                    </w:rPr>
                  </w:pPr>
                </w:p>
              </w:tc>
              <w:tc>
                <w:tcPr>
                  <w:tcW w:w="838"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838" w:type="dxa"/>
                  <w:vMerge w:val="continue"/>
                  <w:vAlign w:val="center"/>
                </w:tcPr>
                <w:p>
                  <w:pPr>
                    <w:spacing w:line="240" w:lineRule="auto"/>
                    <w:ind w:firstLine="0" w:firstLineChars="0"/>
                    <w:rPr>
                      <w:rFonts w:cs="Times New Roman"/>
                      <w:sz w:val="21"/>
                      <w:szCs w:val="21"/>
                    </w:rPr>
                  </w:pPr>
                </w:p>
              </w:tc>
              <w:tc>
                <w:tcPr>
                  <w:tcW w:w="949"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948"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合计</w:t>
                  </w:r>
                </w:p>
              </w:tc>
              <w:tc>
                <w:tcPr>
                  <w:tcW w:w="950"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 xml:space="preserve">452.00 </w:t>
                  </w:r>
                </w:p>
              </w:tc>
              <w:tc>
                <w:tcPr>
                  <w:tcW w:w="1816"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1454" w:type="dxa"/>
                </w:tcPr>
                <w:p>
                  <w:pPr>
                    <w:spacing w:line="240" w:lineRule="auto"/>
                    <w:ind w:firstLine="0" w:firstLineChars="0"/>
                    <w:jc w:val="center"/>
                    <w:rPr>
                      <w:rFonts w:cs="Times New Roman"/>
                      <w:sz w:val="22"/>
                      <w:szCs w:val="22"/>
                    </w:rPr>
                  </w:pPr>
                  <w:r>
                    <w:rPr>
                      <w:rFonts w:cs="Times New Roman"/>
                      <w:sz w:val="22"/>
                      <w:szCs w:val="22"/>
                    </w:rPr>
                    <w:t xml:space="preserve">398.81 </w:t>
                  </w:r>
                </w:p>
              </w:tc>
              <w:tc>
                <w:tcPr>
                  <w:tcW w:w="1456" w:type="dxa"/>
                  <w:shd w:val="clear" w:color="000000" w:fill="FFFFFF"/>
                  <w:noWrap/>
                  <w:vAlign w:val="center"/>
                </w:tcPr>
                <w:p>
                  <w:pPr>
                    <w:spacing w:line="240" w:lineRule="auto"/>
                    <w:ind w:firstLine="0" w:firstLineChars="0"/>
                    <w:jc w:val="center"/>
                    <w:rPr>
                      <w:rFonts w:cs="Times New Roman"/>
                      <w:sz w:val="21"/>
                      <w:szCs w:val="21"/>
                    </w:rPr>
                  </w:pPr>
                  <w:r>
                    <w:rPr>
                      <w:rFonts w:cs="Times New Roman"/>
                      <w:sz w:val="21"/>
                      <w:szCs w:val="21"/>
                    </w:rPr>
                    <w:t xml:space="preserve">452.00 </w:t>
                  </w:r>
                </w:p>
              </w:tc>
              <w:tc>
                <w:tcPr>
                  <w:tcW w:w="1021"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838"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c>
                <w:tcPr>
                  <w:tcW w:w="838"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 xml:space="preserve">452.00 </w:t>
                  </w:r>
                </w:p>
              </w:tc>
              <w:tc>
                <w:tcPr>
                  <w:tcW w:w="949" w:type="dxa"/>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w:t>
                  </w:r>
                </w:p>
              </w:tc>
            </w:tr>
          </w:tbl>
          <w:p>
            <w:pPr>
              <w:ind w:firstLine="420"/>
              <w:rPr>
                <w:rFonts w:eastAsia="仿宋" w:cs="Times New Roman"/>
                <w:sz w:val="21"/>
                <w:szCs w:val="21"/>
              </w:rPr>
            </w:pPr>
            <w:r>
              <w:rPr>
                <w:rFonts w:eastAsia="仿宋" w:cs="Times New Roman"/>
                <w:sz w:val="21"/>
                <w:szCs w:val="21"/>
              </w:rPr>
              <w:t>c）建立资金风险防范机制，为确保项目资金能安全运作，严格专款专用，严禁挪作他用，保证项目顺利实施，必须建立资金风险防范机制。</w:t>
            </w:r>
          </w:p>
          <w:p>
            <w:pPr>
              <w:ind w:firstLine="420"/>
              <w:rPr>
                <w:rFonts w:eastAsia="仿宋" w:cs="Times New Roman"/>
                <w:sz w:val="21"/>
                <w:szCs w:val="21"/>
              </w:rPr>
            </w:pPr>
            <w:r>
              <w:rPr>
                <w:rFonts w:eastAsia="仿宋" w:cs="Times New Roman"/>
                <w:sz w:val="21"/>
                <w:szCs w:val="21"/>
              </w:rPr>
              <w:t>d）资金支付必须实行报请制度，经主管领导批准后方可开支，支出单据须经办人签字认可，主管领导签字同意后，方可列支。项目资金设置专用账户，会计、出纳人员专项管理。</w:t>
            </w:r>
          </w:p>
          <w:p>
            <w:pPr>
              <w:ind w:firstLine="420"/>
              <w:rPr>
                <w:rFonts w:cs="Times New Roman"/>
                <w:sz w:val="21"/>
                <w:szCs w:val="21"/>
              </w:rPr>
            </w:pPr>
          </w:p>
          <w:p>
            <w:pPr>
              <w:pStyle w:val="114"/>
              <w:kinsoku w:val="0"/>
              <w:overflowPunct w:val="0"/>
              <w:autoSpaceDE w:val="0"/>
              <w:autoSpaceDN w:val="0"/>
              <w:adjustRightInd w:val="0"/>
              <w:jc w:val="left"/>
              <w:rPr>
                <w:rFonts w:eastAsia="仿宋_GB2312"/>
                <w:kern w:val="0"/>
                <w:sz w:val="24"/>
                <w:szCs w:val="24"/>
                <w:lang w:val="en-US" w:bidi="ar-SA"/>
              </w:rPr>
            </w:pPr>
          </w:p>
        </w:tc>
      </w:tr>
    </w:tbl>
    <w:p>
      <w:pPr>
        <w:pStyle w:val="114"/>
        <w:kinsoku w:val="0"/>
        <w:overflowPunct w:val="0"/>
        <w:autoSpaceDE w:val="0"/>
        <w:autoSpaceDN w:val="0"/>
        <w:adjustRightInd w:val="0"/>
        <w:jc w:val="left"/>
        <w:rPr>
          <w:rFonts w:ascii="仿宋_GB2312" w:eastAsia="仿宋_GB2312" w:cs="仿宋_GB2312"/>
          <w:kern w:val="0"/>
          <w:sz w:val="24"/>
          <w:szCs w:val="24"/>
          <w:lang w:val="en-US" w:bidi="ar-SA"/>
        </w:rPr>
        <w:sectPr>
          <w:pgSz w:w="11910" w:h="16840"/>
          <w:pgMar w:top="1040" w:right="560" w:bottom="280" w:left="580" w:header="858" w:footer="0" w:gutter="0"/>
          <w:cols w:space="720" w:num="1"/>
        </w:sectPr>
      </w:pPr>
    </w:p>
    <w:tbl>
      <w:tblPr>
        <w:tblStyle w:val="26"/>
        <w:tblW w:w="10456" w:type="dxa"/>
        <w:tblInd w:w="0" w:type="dxa"/>
        <w:tblLayout w:type="fixed"/>
        <w:tblCellMar>
          <w:top w:w="0" w:type="dxa"/>
          <w:left w:w="0" w:type="dxa"/>
          <w:bottom w:w="0" w:type="dxa"/>
          <w:right w:w="0" w:type="dxa"/>
        </w:tblCellMar>
      </w:tblPr>
      <w:tblGrid>
        <w:gridCol w:w="422"/>
        <w:gridCol w:w="425"/>
        <w:gridCol w:w="9609"/>
      </w:tblGrid>
      <w:tr>
        <w:tblPrEx>
          <w:tblLayout w:type="fixed"/>
          <w:tblCellMar>
            <w:top w:w="0" w:type="dxa"/>
            <w:left w:w="0" w:type="dxa"/>
            <w:bottom w:w="0" w:type="dxa"/>
            <w:right w:w="0" w:type="dxa"/>
          </w:tblCellMar>
        </w:tblPrEx>
        <w:trPr>
          <w:trHeight w:val="15131" w:hRule="exact"/>
        </w:trPr>
        <w:tc>
          <w:tcPr>
            <w:tcW w:w="422" w:type="dxa"/>
            <w:tcBorders>
              <w:top w:val="single" w:color="000000" w:sz="4" w:space="0"/>
              <w:left w:val="single" w:color="000000" w:sz="4" w:space="0"/>
              <w:bottom w:val="single" w:color="000000" w:sz="4" w:space="0"/>
              <w:right w:val="single" w:color="000000" w:sz="4" w:space="0"/>
            </w:tcBorders>
            <w:vAlign w:val="center"/>
          </w:tcPr>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kern w:val="0"/>
                <w:szCs w:val="21"/>
                <w:lang w:val="en-US" w:bidi="ar-SA"/>
              </w:rPr>
            </w:pPr>
            <w:r>
              <w:rPr>
                <w:rFonts w:eastAsia="仿宋_GB2312"/>
                <w:szCs w:val="21"/>
              </w:rPr>
              <w:t>投  资  估  算</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r>
              <w:rPr>
                <w:rFonts w:eastAsia="仿宋_GB2312"/>
                <w:kern w:val="0"/>
                <w:szCs w:val="21"/>
                <w:lang w:val="en-US" w:bidi="ar-SA"/>
              </w:rPr>
              <w:t>测算依据</w:t>
            </w:r>
          </w:p>
        </w:tc>
        <w:tc>
          <w:tcPr>
            <w:tcW w:w="9609" w:type="dxa"/>
            <w:tcBorders>
              <w:top w:val="single" w:color="000000" w:sz="4" w:space="0"/>
              <w:left w:val="single" w:color="000000" w:sz="4" w:space="0"/>
              <w:bottom w:val="single" w:color="000000" w:sz="4" w:space="0"/>
              <w:right w:val="single" w:color="000000" w:sz="4" w:space="0"/>
            </w:tcBorders>
          </w:tcPr>
          <w:p>
            <w:pPr>
              <w:ind w:firstLine="422"/>
              <w:rPr>
                <w:rFonts w:cs="Times New Roman"/>
                <w:b/>
                <w:bCs/>
                <w:sz w:val="21"/>
                <w:szCs w:val="21"/>
              </w:rPr>
            </w:pPr>
            <w:r>
              <w:rPr>
                <w:rFonts w:cs="Times New Roman"/>
                <w:b/>
                <w:bCs/>
                <w:sz w:val="21"/>
                <w:szCs w:val="21"/>
              </w:rPr>
              <w:t>3监管保障措施</w:t>
            </w:r>
          </w:p>
          <w:p>
            <w:pPr>
              <w:ind w:firstLine="420"/>
              <w:rPr>
                <w:rFonts w:cs="Times New Roman"/>
                <w:sz w:val="21"/>
                <w:szCs w:val="21"/>
              </w:rPr>
            </w:pPr>
            <w:r>
              <w:rPr>
                <w:rFonts w:cs="Times New Roman"/>
                <w:sz w:val="21"/>
                <w:szCs w:val="21"/>
              </w:rPr>
              <w:t>a）政策措施：</w:t>
            </w:r>
          </w:p>
          <w:p>
            <w:pPr>
              <w:ind w:firstLine="420"/>
              <w:rPr>
                <w:rFonts w:cs="Times New Roman"/>
                <w:sz w:val="21"/>
                <w:szCs w:val="21"/>
              </w:rPr>
            </w:pPr>
            <w:r>
              <w:rPr>
                <w:rFonts w:cs="Times New Roman"/>
                <w:sz w:val="21"/>
                <w:szCs w:val="21"/>
              </w:rPr>
              <w:t>1）做好宣传发动工作，认清土地复垦在经济建设和可持续发展战略中所处的地位和作用，增强紧迫感和责任感。取得广大干部和群众的理解支持，充分发挥各项有利条件。2）根据国家的有关政策制定土地复垦的奖惩制度。3）加强监督，对复垦后的土地及时组织验收，合格的依法办理土地变更登记手续。</w:t>
            </w:r>
          </w:p>
          <w:p>
            <w:pPr>
              <w:ind w:firstLine="420"/>
              <w:rPr>
                <w:rFonts w:cs="Times New Roman"/>
                <w:sz w:val="21"/>
                <w:szCs w:val="21"/>
              </w:rPr>
            </w:pPr>
            <w:r>
              <w:rPr>
                <w:rFonts w:cs="Times New Roman"/>
                <w:sz w:val="21"/>
                <w:szCs w:val="21"/>
              </w:rPr>
              <w:t>b）管理措施：</w:t>
            </w:r>
          </w:p>
          <w:p>
            <w:pPr>
              <w:ind w:firstLine="420"/>
              <w:rPr>
                <w:rFonts w:cs="Times New Roman"/>
                <w:sz w:val="21"/>
                <w:szCs w:val="21"/>
              </w:rPr>
            </w:pPr>
            <w:r>
              <w:rPr>
                <w:rFonts w:cs="Times New Roman"/>
                <w:sz w:val="21"/>
                <w:szCs w:val="21"/>
              </w:rPr>
              <w:t>1）抓好资金落实，严格审查资金的应用情况；2）按照方案确定的年度复垦方案逐地块落实，对土地复垦实行计划管理；3）严格执行本土地复垦方案，加强对未规划土地的管理，禁止随意开发；4）保护土地复垦单位的利益，调动土地复垦的积极性；5）坚持全面规划，综合治理，要治理一片见效一片，不搞半截子工程。在工程建设中严格实行招标制，按照公开、公正、公平的原则，择优选择施工队伍以确保工程质量，降低工程成本，加快工程进度；6）加强复垦后的土地利用与保护、巩固工作。</w:t>
            </w:r>
          </w:p>
          <w:p>
            <w:pPr>
              <w:ind w:firstLine="420"/>
              <w:rPr>
                <w:rFonts w:cs="Times New Roman"/>
                <w:sz w:val="21"/>
                <w:szCs w:val="21"/>
              </w:rPr>
            </w:pPr>
            <w:r>
              <w:rPr>
                <w:rFonts w:cs="Times New Roman"/>
                <w:sz w:val="21"/>
                <w:szCs w:val="21"/>
              </w:rPr>
              <w:t>4 技术保障措施</w:t>
            </w:r>
          </w:p>
          <w:p>
            <w:pPr>
              <w:numPr>
                <w:ilvl w:val="0"/>
                <w:numId w:val="1"/>
              </w:numPr>
              <w:ind w:firstLine="420"/>
              <w:rPr>
                <w:rFonts w:cs="Times New Roman"/>
                <w:sz w:val="21"/>
                <w:szCs w:val="21"/>
              </w:rPr>
            </w:pPr>
            <w:r>
              <w:rPr>
                <w:rFonts w:cs="Times New Roman"/>
                <w:sz w:val="21"/>
                <w:szCs w:val="21"/>
              </w:rPr>
              <w:t>落实设计：方案批复后，建设单位必须委托有资质的设计单位，在具体的测量基础上进一步进行施工图设计，并报当地土地行政主管部门备案。若土地复垦方案和工程设计要做变更，则必须办理相应的报批手续。</w:t>
            </w:r>
          </w:p>
          <w:p>
            <w:pPr>
              <w:ind w:firstLine="420"/>
              <w:rPr>
                <w:rFonts w:cs="Times New Roman"/>
                <w:sz w:val="21"/>
                <w:szCs w:val="21"/>
              </w:rPr>
            </w:pPr>
            <w:r>
              <w:rPr>
                <w:rFonts w:cs="Times New Roman"/>
                <w:sz w:val="21"/>
                <w:szCs w:val="21"/>
              </w:rPr>
              <w:t>b）在工程施工阶段，业主方须聘用有资质的监理单位按照土地复垦方案进行工程监理，严把质量关。监理单位定期向建设管理单位提交土地复垦工程施工进度、质量报告。</w:t>
            </w:r>
          </w:p>
          <w:p>
            <w:pPr>
              <w:ind w:firstLine="0" w:firstLineChars="0"/>
              <w:rPr>
                <w:rFonts w:cs="Times New Roman"/>
                <w:sz w:val="21"/>
                <w:szCs w:val="21"/>
              </w:rPr>
            </w:pPr>
            <w:r>
              <w:rPr>
                <w:rFonts w:cs="Times New Roman"/>
                <w:sz w:val="21"/>
                <w:szCs w:val="21"/>
              </w:rPr>
              <w:t>c）工程竣工前必须验收土地复垦工程内容，以达到土地复垦方案既定的目标、内容。</w:t>
            </w:r>
          </w:p>
          <w:p>
            <w:pPr>
              <w:ind w:firstLine="420"/>
              <w:rPr>
                <w:rFonts w:cs="Times New Roman"/>
                <w:sz w:val="21"/>
                <w:szCs w:val="21"/>
              </w:rPr>
            </w:pPr>
            <w:r>
              <w:rPr>
                <w:rFonts w:cs="Times New Roman"/>
                <w:sz w:val="21"/>
                <w:szCs w:val="21"/>
              </w:rPr>
              <w:t>d）加强管理机构人员有关土地复垦的法律、法规、政策和技术的培训，增强员工的责任心，提高职工的技术水平，加大科技投入，积极推广新工艺、新技术，提高效益，节约成本。</w:t>
            </w:r>
          </w:p>
          <w:p>
            <w:pPr>
              <w:ind w:firstLine="420"/>
              <w:rPr>
                <w:rFonts w:cs="Times New Roman"/>
                <w:sz w:val="21"/>
                <w:szCs w:val="21"/>
              </w:rPr>
            </w:pPr>
            <w:r>
              <w:rPr>
                <w:rFonts w:cs="Times New Roman"/>
                <w:sz w:val="21"/>
                <w:szCs w:val="21"/>
              </w:rPr>
              <w:t>e）技术档案管理：建立健全技术档案，包括土地复垦方案设计的所有资料和图纸，年度施工计划、总结、表格和文件等，各项复垦措施经费等技术资料，以及检查验收的全部文件、报告、表格资料。</w:t>
            </w:r>
          </w:p>
          <w:p>
            <w:pPr>
              <w:pStyle w:val="114"/>
              <w:kinsoku w:val="0"/>
              <w:overflowPunct w:val="0"/>
              <w:autoSpaceDE w:val="0"/>
              <w:autoSpaceDN w:val="0"/>
              <w:adjustRightInd w:val="0"/>
              <w:spacing w:before="154"/>
              <w:ind w:left="588"/>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p>
            <w:pPr>
              <w:pStyle w:val="114"/>
              <w:kinsoku w:val="0"/>
              <w:overflowPunct w:val="0"/>
              <w:autoSpaceDE w:val="0"/>
              <w:autoSpaceDN w:val="0"/>
              <w:adjustRightInd w:val="0"/>
              <w:jc w:val="left"/>
              <w:rPr>
                <w:rFonts w:eastAsia="仿宋_GB2312"/>
                <w:kern w:val="0"/>
                <w:szCs w:val="21"/>
                <w:lang w:val="en-US" w:bidi="ar-SA"/>
              </w:rPr>
            </w:pPr>
          </w:p>
        </w:tc>
      </w:tr>
      <w:tr>
        <w:tblPrEx>
          <w:tblLayout w:type="fixed"/>
          <w:tblCellMar>
            <w:top w:w="0" w:type="dxa"/>
            <w:left w:w="0" w:type="dxa"/>
            <w:bottom w:w="0" w:type="dxa"/>
            <w:right w:w="0" w:type="dxa"/>
          </w:tblCellMar>
        </w:tblPrEx>
        <w:trPr>
          <w:trHeight w:val="15131" w:hRule="exact"/>
        </w:trPr>
        <w:tc>
          <w:tcPr>
            <w:tcW w:w="422" w:type="dxa"/>
            <w:tcBorders>
              <w:top w:val="single" w:color="000000" w:sz="4" w:space="0"/>
              <w:left w:val="single" w:color="000000" w:sz="4" w:space="0"/>
              <w:bottom w:val="single" w:color="000000" w:sz="4" w:space="0"/>
              <w:right w:val="single" w:color="000000" w:sz="4" w:space="0"/>
            </w:tcBorders>
            <w:vAlign w:val="center"/>
          </w:tcPr>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szCs w:val="21"/>
              </w:rPr>
            </w:pPr>
          </w:p>
          <w:p>
            <w:pPr>
              <w:pStyle w:val="114"/>
              <w:kinsoku w:val="0"/>
              <w:overflowPunct w:val="0"/>
              <w:autoSpaceDE w:val="0"/>
              <w:autoSpaceDN w:val="0"/>
              <w:adjustRightInd w:val="0"/>
              <w:jc w:val="center"/>
              <w:rPr>
                <w:rFonts w:eastAsia="仿宋_GB2312"/>
                <w:kern w:val="0"/>
                <w:szCs w:val="21"/>
                <w:lang w:val="en-US" w:bidi="ar-SA"/>
              </w:rPr>
            </w:pPr>
            <w:r>
              <w:rPr>
                <w:rFonts w:eastAsia="仿宋_GB2312"/>
                <w:szCs w:val="21"/>
              </w:rPr>
              <w:t>投  资  估  算</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r>
              <w:rPr>
                <w:rFonts w:eastAsia="仿宋_GB2312"/>
                <w:kern w:val="0"/>
                <w:szCs w:val="21"/>
                <w:lang w:val="en-US" w:bidi="ar-SA"/>
              </w:rPr>
              <w:t>测算依据</w:t>
            </w:r>
          </w:p>
        </w:tc>
        <w:tc>
          <w:tcPr>
            <w:tcW w:w="9609" w:type="dxa"/>
            <w:tcBorders>
              <w:top w:val="single" w:color="000000" w:sz="4" w:space="0"/>
              <w:left w:val="single" w:color="000000" w:sz="4" w:space="0"/>
              <w:bottom w:val="single" w:color="000000" w:sz="4" w:space="0"/>
              <w:right w:val="single" w:color="000000" w:sz="4" w:space="0"/>
            </w:tcBorders>
          </w:tcPr>
          <w:p>
            <w:pPr>
              <w:ind w:firstLine="422"/>
              <w:rPr>
                <w:rFonts w:cs="Times New Roman"/>
                <w:b/>
                <w:sz w:val="21"/>
                <w:szCs w:val="21"/>
              </w:rPr>
            </w:pPr>
            <w:r>
              <w:rPr>
                <w:rFonts w:cs="Times New Roman"/>
                <w:b/>
                <w:sz w:val="21"/>
                <w:szCs w:val="21"/>
              </w:rPr>
              <w:t>1、估算编制依据</w:t>
            </w:r>
          </w:p>
          <w:p>
            <w:pPr>
              <w:pStyle w:val="124"/>
              <w:ind w:firstLine="420"/>
              <w:rPr>
                <w:sz w:val="21"/>
              </w:rPr>
            </w:pPr>
            <w:r>
              <w:rPr>
                <w:sz w:val="21"/>
              </w:rPr>
              <w:t>（1）云南省国土资源厅关于《加强土地复垦费用监管的通知》云国土资耕〔2014〕3号；</w:t>
            </w:r>
          </w:p>
          <w:p>
            <w:pPr>
              <w:pStyle w:val="124"/>
              <w:ind w:firstLine="420"/>
              <w:rPr>
                <w:sz w:val="21"/>
              </w:rPr>
            </w:pPr>
            <w:r>
              <w:rPr>
                <w:sz w:val="21"/>
              </w:rPr>
              <w:t>（2）《云南省国土资源厅云南省财政厅关于印发土地开发整理项目预算定额标准云南省补充预算定额的通知》（财综〔2016〕35号）；</w:t>
            </w:r>
          </w:p>
          <w:p>
            <w:pPr>
              <w:pStyle w:val="124"/>
              <w:ind w:firstLine="420"/>
              <w:rPr>
                <w:sz w:val="21"/>
              </w:rPr>
            </w:pPr>
            <w:r>
              <w:rPr>
                <w:sz w:val="21"/>
              </w:rPr>
              <w:t>（3）云南省国土资源厅《土地开发整理项目预算编制规定云南省补充编制规定》（〔2016〕35号）；</w:t>
            </w:r>
          </w:p>
          <w:p>
            <w:pPr>
              <w:pStyle w:val="124"/>
              <w:ind w:firstLine="420"/>
              <w:rPr>
                <w:sz w:val="21"/>
              </w:rPr>
            </w:pPr>
            <w:r>
              <w:rPr>
                <w:sz w:val="21"/>
              </w:rPr>
              <w:t>（4）云南省国土资源厅云南省财政厅《土地开发整理项目施工机械台班费定额云南省补充施工机械台班费定额》；</w:t>
            </w:r>
          </w:p>
          <w:p>
            <w:pPr>
              <w:pStyle w:val="124"/>
              <w:ind w:firstLine="420"/>
              <w:rPr>
                <w:sz w:val="21"/>
              </w:rPr>
            </w:pPr>
            <w:r>
              <w:rPr>
                <w:sz w:val="21"/>
              </w:rPr>
              <w:t>（5）《土地复垦工程费用构成与取费标准》；</w:t>
            </w:r>
          </w:p>
          <w:p>
            <w:pPr>
              <w:pStyle w:val="124"/>
              <w:ind w:firstLine="420"/>
              <w:rPr>
                <w:sz w:val="21"/>
              </w:rPr>
            </w:pPr>
            <w:r>
              <w:rPr>
                <w:sz w:val="21"/>
              </w:rPr>
              <w:t>（6）《云南省昆明市建设工程材料及设备价格信息》（2023年9月）；</w:t>
            </w:r>
          </w:p>
          <w:p>
            <w:pPr>
              <w:pStyle w:val="124"/>
              <w:ind w:firstLine="420"/>
              <w:rPr>
                <w:sz w:val="21"/>
              </w:rPr>
            </w:pPr>
            <w:r>
              <w:rPr>
                <w:sz w:val="21"/>
              </w:rPr>
              <w:t>（7）《土地复垦方案编制规程》（TD/T1031.1-2011）;</w:t>
            </w:r>
          </w:p>
          <w:p>
            <w:pPr>
              <w:pStyle w:val="124"/>
              <w:ind w:firstLine="420"/>
              <w:rPr>
                <w:sz w:val="21"/>
              </w:rPr>
            </w:pPr>
            <w:r>
              <w:rPr>
                <w:sz w:val="21"/>
              </w:rPr>
              <w:t>（8）云南省国土资源厅云南省财政厅关于土地整治工程营业税改增值税计价依据调整过渡实施方案的通知(云国土资〔2017〕232号)</w:t>
            </w:r>
          </w:p>
          <w:p>
            <w:pPr>
              <w:pStyle w:val="124"/>
              <w:ind w:firstLine="420"/>
              <w:rPr>
                <w:sz w:val="21"/>
              </w:rPr>
            </w:pPr>
            <w:r>
              <w:rPr>
                <w:sz w:val="21"/>
              </w:rPr>
              <w:t>（9）云南省省级住房公积金管理中心关于2012年住房公积金缴存的通知（云省级公积金〔2014〕4号）；</w:t>
            </w:r>
          </w:p>
          <w:p>
            <w:pPr>
              <w:pStyle w:val="124"/>
              <w:ind w:firstLine="420"/>
              <w:rPr>
                <w:sz w:val="21"/>
              </w:rPr>
            </w:pPr>
            <w:r>
              <w:rPr>
                <w:sz w:val="21"/>
              </w:rPr>
              <w:t>（10）财政部、税务总局海关总署公告〔2019〕39号；</w:t>
            </w:r>
            <w:bookmarkStart w:id="9" w:name="_GoBack"/>
            <w:bookmarkEnd w:id="9"/>
          </w:p>
          <w:p>
            <w:pPr>
              <w:pStyle w:val="124"/>
              <w:ind w:firstLine="420"/>
              <w:rPr>
                <w:sz w:val="21"/>
              </w:rPr>
            </w:pPr>
            <w:r>
              <w:rPr>
                <w:sz w:val="21"/>
              </w:rPr>
              <w:t>（11）《土地开发整理项目预算定额》（财综〔2011〕128号）</w:t>
            </w:r>
          </w:p>
          <w:p>
            <w:pPr>
              <w:ind w:firstLine="422"/>
              <w:rPr>
                <w:rFonts w:cs="Times New Roman"/>
                <w:b/>
                <w:sz w:val="21"/>
                <w:szCs w:val="21"/>
              </w:rPr>
            </w:pPr>
            <w:r>
              <w:rPr>
                <w:rFonts w:cs="Times New Roman"/>
                <w:b/>
                <w:sz w:val="21"/>
                <w:szCs w:val="21"/>
              </w:rPr>
              <w:t>2、基础单价编制依据</w:t>
            </w:r>
          </w:p>
          <w:p>
            <w:pPr>
              <w:ind w:firstLine="420"/>
              <w:rPr>
                <w:rFonts w:cs="Times New Roman"/>
                <w:sz w:val="21"/>
                <w:szCs w:val="21"/>
              </w:rPr>
            </w:pPr>
            <w:r>
              <w:rPr>
                <w:rFonts w:cs="Times New Roman"/>
                <w:sz w:val="21"/>
                <w:szCs w:val="21"/>
              </w:rPr>
              <w:t>a）人工单价确定：根据《土地开发整理项目预算编制规定云南省补充编制规定》，项目所属区域呈贡区属于六类工资地区。经计算，六类工资区人工单价分别按甲类工52.05元/工日、乙类工39.61元/工日计取。</w:t>
            </w:r>
          </w:p>
          <w:p>
            <w:pPr>
              <w:ind w:firstLine="420"/>
              <w:rPr>
                <w:rFonts w:cs="Times New Roman"/>
                <w:sz w:val="21"/>
                <w:szCs w:val="21"/>
              </w:rPr>
            </w:pPr>
            <w:r>
              <w:rPr>
                <w:rFonts w:cs="Times New Roman"/>
                <w:sz w:val="21"/>
                <w:szCs w:val="21"/>
              </w:rPr>
              <w:t>b）材料单价的确定：主要材料价格＝材料原价＋运杂费＋采购保管费，其他材料的价格参考《云南省昆明市建设工程材料及设备价格信息》2023年9月昆明市材料价格。</w:t>
            </w:r>
          </w:p>
          <w:p>
            <w:pPr>
              <w:ind w:firstLine="420"/>
              <w:rPr>
                <w:rFonts w:cs="Times New Roman"/>
                <w:sz w:val="21"/>
                <w:szCs w:val="21"/>
              </w:rPr>
            </w:pPr>
            <w:r>
              <w:rPr>
                <w:rFonts w:cs="Times New Roman"/>
                <w:sz w:val="21"/>
                <w:szCs w:val="21"/>
              </w:rPr>
              <w:t>c）施工机械台班单价的确定：在施工机械使用费的计算中，台班费依据《土地开发整理项目施工机械台班费定额云南省补充施工机型诶台班定额》标准计取，施工机械台班费估算单价=折旧费+修理及替换设备费+安装拆卸费+机上人工费+动力燃料费。</w:t>
            </w:r>
          </w:p>
          <w:p>
            <w:pPr>
              <w:ind w:firstLine="420"/>
              <w:rPr>
                <w:rFonts w:cs="Times New Roman"/>
                <w:sz w:val="21"/>
                <w:szCs w:val="21"/>
              </w:rPr>
            </w:pPr>
            <w:r>
              <w:rPr>
                <w:rFonts w:cs="Times New Roman"/>
                <w:sz w:val="21"/>
                <w:szCs w:val="21"/>
              </w:rPr>
              <w:t>d）直接工程费单价计算：直接工程费单价按照《土地开发整理项目预算编制规定云南省补充编制规定》中的定额计算，直接工程费单价=人工费+材料费+施工机械使用费。</w:t>
            </w:r>
          </w:p>
          <w:p>
            <w:pPr>
              <w:ind w:firstLine="422"/>
              <w:rPr>
                <w:rFonts w:cs="Times New Roman"/>
                <w:b/>
                <w:sz w:val="21"/>
                <w:szCs w:val="21"/>
              </w:rPr>
            </w:pPr>
            <w:r>
              <w:rPr>
                <w:rFonts w:cs="Times New Roman"/>
                <w:b/>
                <w:sz w:val="21"/>
                <w:szCs w:val="21"/>
              </w:rPr>
              <w:t>3、各种费用取费标准：</w:t>
            </w:r>
          </w:p>
          <w:p>
            <w:pPr>
              <w:ind w:firstLine="420"/>
              <w:rPr>
                <w:rFonts w:cs="Times New Roman"/>
                <w:sz w:val="21"/>
                <w:szCs w:val="21"/>
              </w:rPr>
            </w:pPr>
            <w:r>
              <w:rPr>
                <w:rFonts w:cs="Times New Roman"/>
                <w:sz w:val="21"/>
                <w:szCs w:val="21"/>
              </w:rPr>
              <w:t>土地复垦费用估算中工程施工费、设备费、其他费用、基本预备费、价差预备费等费用的估算均按《土地开发整理项目预算定额标准云南省补充预算定额》中规定的取费标准进行取费及计算。</w:t>
            </w:r>
          </w:p>
          <w:p>
            <w:pPr>
              <w:ind w:firstLine="420"/>
              <w:rPr>
                <w:rFonts w:cs="Times New Roman"/>
                <w:sz w:val="21"/>
                <w:szCs w:val="21"/>
              </w:rPr>
            </w:pPr>
            <w:r>
              <w:rPr>
                <w:rFonts w:cs="Times New Roman"/>
                <w:sz w:val="21"/>
                <w:szCs w:val="21"/>
              </w:rPr>
              <w:t>相关费用的计算结果见附表。</w:t>
            </w:r>
          </w:p>
          <w:p>
            <w:pPr>
              <w:ind w:firstLine="420"/>
              <w:rPr>
                <w:rFonts w:cs="Times New Roman"/>
                <w:sz w:val="21"/>
                <w:szCs w:val="21"/>
              </w:rPr>
            </w:pPr>
          </w:p>
          <w:p>
            <w:pPr>
              <w:ind w:firstLine="420"/>
              <w:rPr>
                <w:rFonts w:cs="Times New Roman"/>
                <w:sz w:val="21"/>
                <w:szCs w:val="21"/>
              </w:rPr>
            </w:pPr>
          </w:p>
          <w:p>
            <w:pPr>
              <w:ind w:firstLine="420"/>
              <w:rPr>
                <w:rFonts w:cs="Times New Roman"/>
                <w:sz w:val="21"/>
                <w:szCs w:val="21"/>
              </w:rPr>
            </w:pPr>
          </w:p>
          <w:p>
            <w:pPr>
              <w:ind w:firstLine="420"/>
              <w:rPr>
                <w:rFonts w:cs="Times New Roman"/>
                <w:sz w:val="21"/>
                <w:szCs w:val="21"/>
              </w:rPr>
            </w:pPr>
          </w:p>
        </w:tc>
      </w:tr>
      <w:tr>
        <w:tblPrEx>
          <w:tblLayout w:type="fixed"/>
          <w:tblCellMar>
            <w:top w:w="0" w:type="dxa"/>
            <w:left w:w="0" w:type="dxa"/>
            <w:bottom w:w="0" w:type="dxa"/>
            <w:right w:w="0" w:type="dxa"/>
          </w:tblCellMar>
        </w:tblPrEx>
        <w:trPr>
          <w:trHeight w:val="4546" w:hRule="exact"/>
        </w:trPr>
        <w:tc>
          <w:tcPr>
            <w:tcW w:w="422" w:type="dxa"/>
            <w:tcBorders>
              <w:top w:val="single" w:color="000000" w:sz="4" w:space="0"/>
              <w:left w:val="single" w:color="000000" w:sz="4" w:space="0"/>
              <w:bottom w:val="single" w:color="000000" w:sz="4" w:space="0"/>
              <w:right w:val="single" w:color="000000" w:sz="4" w:space="0"/>
            </w:tcBorders>
            <w:vAlign w:val="center"/>
          </w:tcPr>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b/>
                <w:bCs/>
                <w:kern w:val="0"/>
                <w:szCs w:val="21"/>
                <w:lang w:val="en-US" w:bidi="ar-SA"/>
              </w:rPr>
            </w:pPr>
            <w:r>
              <w:rPr>
                <w:rFonts w:eastAsia="仿宋_GB2312"/>
                <w:szCs w:val="21"/>
              </w:rPr>
              <w:t>投  资  估  算</w:t>
            </w:r>
          </w:p>
        </w:tc>
        <w:tc>
          <w:tcPr>
            <w:tcW w:w="425" w:type="dxa"/>
            <w:tcBorders>
              <w:top w:val="single" w:color="000000" w:sz="4" w:space="0"/>
              <w:left w:val="single" w:color="000000" w:sz="4" w:space="0"/>
              <w:bottom w:val="single" w:color="000000" w:sz="4" w:space="0"/>
              <w:right w:val="single" w:color="000000" w:sz="4" w:space="0"/>
            </w:tcBorders>
            <w:vAlign w:val="center"/>
          </w:tcPr>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p>
          <w:p>
            <w:pPr>
              <w:pStyle w:val="114"/>
              <w:kinsoku w:val="0"/>
              <w:overflowPunct w:val="0"/>
              <w:autoSpaceDE w:val="0"/>
              <w:autoSpaceDN w:val="0"/>
              <w:adjustRightInd w:val="0"/>
              <w:jc w:val="center"/>
              <w:rPr>
                <w:rFonts w:eastAsia="仿宋_GB2312"/>
                <w:kern w:val="0"/>
                <w:szCs w:val="21"/>
                <w:lang w:val="en-US" w:bidi="ar-SA"/>
              </w:rPr>
            </w:pPr>
            <w:r>
              <w:rPr>
                <w:rFonts w:eastAsia="仿宋_GB2312"/>
                <w:szCs w:val="21"/>
              </w:rPr>
              <w:t>费 用 构 成</w:t>
            </w:r>
          </w:p>
        </w:tc>
        <w:tc>
          <w:tcPr>
            <w:tcW w:w="9609" w:type="dxa"/>
            <w:tcBorders>
              <w:top w:val="single" w:color="000000" w:sz="4" w:space="0"/>
              <w:left w:val="single" w:color="000000" w:sz="4" w:space="0"/>
              <w:bottom w:val="single" w:color="000000" w:sz="4" w:space="0"/>
              <w:right w:val="single" w:color="000000" w:sz="4" w:space="0"/>
            </w:tcBorders>
          </w:tcPr>
          <w:tbl>
            <w:tblPr>
              <w:tblStyle w:val="26"/>
              <w:tblW w:w="9589" w:type="dxa"/>
              <w:tblInd w:w="0" w:type="dxa"/>
              <w:tblLayout w:type="fixed"/>
              <w:tblCellMar>
                <w:top w:w="0" w:type="dxa"/>
                <w:left w:w="108" w:type="dxa"/>
                <w:bottom w:w="0" w:type="dxa"/>
                <w:right w:w="108" w:type="dxa"/>
              </w:tblCellMar>
            </w:tblPr>
            <w:tblGrid>
              <w:gridCol w:w="1267"/>
              <w:gridCol w:w="1268"/>
              <w:gridCol w:w="1904"/>
              <w:gridCol w:w="1665"/>
              <w:gridCol w:w="3485"/>
            </w:tblGrid>
            <w:tr>
              <w:tblPrEx>
                <w:tblLayout w:type="fixed"/>
                <w:tblCellMar>
                  <w:top w:w="0" w:type="dxa"/>
                  <w:left w:w="108" w:type="dxa"/>
                  <w:bottom w:w="0" w:type="dxa"/>
                  <w:right w:w="108" w:type="dxa"/>
                </w:tblCellMar>
              </w:tblPrEx>
              <w:trPr>
                <w:trHeight w:val="312" w:hRule="atLeast"/>
              </w:trPr>
              <w:tc>
                <w:tcPr>
                  <w:tcW w:w="126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费用构成</w:t>
                  </w:r>
                </w:p>
              </w:tc>
              <w:tc>
                <w:tcPr>
                  <w:tcW w:w="1268" w:type="dxa"/>
                  <w:tcBorders>
                    <w:top w:val="single" w:color="auto" w:sz="4" w:space="0"/>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序号</w:t>
                  </w:r>
                </w:p>
              </w:tc>
              <w:tc>
                <w:tcPr>
                  <w:tcW w:w="1904" w:type="dxa"/>
                  <w:tcBorders>
                    <w:top w:val="single" w:color="auto" w:sz="4" w:space="0"/>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工程或费用名称</w:t>
                  </w:r>
                </w:p>
              </w:tc>
              <w:tc>
                <w:tcPr>
                  <w:tcW w:w="1665" w:type="dxa"/>
                  <w:tcBorders>
                    <w:top w:val="single" w:color="auto" w:sz="4" w:space="0"/>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费用（万元）</w:t>
                  </w:r>
                </w:p>
              </w:tc>
              <w:tc>
                <w:tcPr>
                  <w:tcW w:w="3485" w:type="dxa"/>
                  <w:tcBorders>
                    <w:top w:val="single" w:color="auto" w:sz="4" w:space="0"/>
                    <w:left w:val="nil"/>
                    <w:bottom w:val="single" w:color="auto" w:sz="4" w:space="0"/>
                    <w:right w:val="single" w:color="auto" w:sz="4" w:space="0"/>
                  </w:tcBorders>
                  <w:shd w:val="clear" w:color="auto" w:fill="auto"/>
                  <w:noWrap/>
                  <w:vAlign w:val="center"/>
                </w:tcPr>
                <w:p>
                  <w:pPr>
                    <w:adjustRightInd/>
                    <w:spacing w:line="240" w:lineRule="auto"/>
                    <w:ind w:firstLine="0" w:firstLineChars="0"/>
                    <w:jc w:val="left"/>
                    <w:rPr>
                      <w:rFonts w:cs="Times New Roman"/>
                      <w:sz w:val="21"/>
                      <w:szCs w:val="21"/>
                    </w:rPr>
                  </w:pPr>
                  <w:r>
                    <w:rPr>
                      <w:rFonts w:cs="Times New Roman"/>
                      <w:sz w:val="21"/>
                      <w:szCs w:val="21"/>
                    </w:rPr>
                    <w:t>各项费用占总费用的比例(%)</w:t>
                  </w:r>
                </w:p>
              </w:tc>
            </w:tr>
            <w:tr>
              <w:tblPrEx>
                <w:tblLayout w:type="fixed"/>
                <w:tblCellMar>
                  <w:top w:w="0" w:type="dxa"/>
                  <w:left w:w="108" w:type="dxa"/>
                  <w:bottom w:w="0" w:type="dxa"/>
                  <w:right w:w="108" w:type="dxa"/>
                </w:tblCellMar>
              </w:tblPrEx>
              <w:trPr>
                <w:trHeight w:val="312" w:hRule="atLeast"/>
              </w:trPr>
              <w:tc>
                <w:tcPr>
                  <w:tcW w:w="1267" w:type="dxa"/>
                  <w:vMerge w:val="continue"/>
                  <w:tcBorders>
                    <w:top w:val="single" w:color="auto" w:sz="4" w:space="0"/>
                    <w:left w:val="single" w:color="auto" w:sz="4" w:space="0"/>
                    <w:bottom w:val="single" w:color="000000" w:sz="4" w:space="0"/>
                    <w:right w:val="single" w:color="auto" w:sz="4" w:space="0"/>
                  </w:tcBorders>
                  <w:vAlign w:val="center"/>
                </w:tcPr>
                <w:p>
                  <w:pPr>
                    <w:adjustRightInd/>
                    <w:spacing w:line="240" w:lineRule="auto"/>
                    <w:ind w:firstLine="0" w:firstLineChars="0"/>
                    <w:jc w:val="left"/>
                    <w:rPr>
                      <w:rFonts w:cs="Times New Roman"/>
                      <w:sz w:val="21"/>
                      <w:szCs w:val="21"/>
                    </w:rPr>
                  </w:pPr>
                </w:p>
              </w:tc>
              <w:tc>
                <w:tcPr>
                  <w:tcW w:w="1268"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1</w:t>
                  </w:r>
                </w:p>
              </w:tc>
              <w:tc>
                <w:tcPr>
                  <w:tcW w:w="1904"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工程施工费</w:t>
                  </w:r>
                </w:p>
              </w:tc>
              <w:tc>
                <w:tcPr>
                  <w:tcW w:w="166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 xml:space="preserve">259.84 </w:t>
                  </w:r>
                </w:p>
              </w:tc>
              <w:tc>
                <w:tcPr>
                  <w:tcW w:w="348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57.49%</w:t>
                  </w:r>
                </w:p>
              </w:tc>
            </w:tr>
            <w:tr>
              <w:tblPrEx>
                <w:tblLayout w:type="fixed"/>
                <w:tblCellMar>
                  <w:top w:w="0" w:type="dxa"/>
                  <w:left w:w="108" w:type="dxa"/>
                  <w:bottom w:w="0" w:type="dxa"/>
                  <w:right w:w="108" w:type="dxa"/>
                </w:tblCellMar>
              </w:tblPrEx>
              <w:trPr>
                <w:trHeight w:val="312" w:hRule="atLeast"/>
              </w:trPr>
              <w:tc>
                <w:tcPr>
                  <w:tcW w:w="1267" w:type="dxa"/>
                  <w:vMerge w:val="continue"/>
                  <w:tcBorders>
                    <w:top w:val="single" w:color="auto" w:sz="4" w:space="0"/>
                    <w:left w:val="single" w:color="auto" w:sz="4" w:space="0"/>
                    <w:bottom w:val="single" w:color="000000" w:sz="4" w:space="0"/>
                    <w:right w:val="single" w:color="auto" w:sz="4" w:space="0"/>
                  </w:tcBorders>
                  <w:vAlign w:val="center"/>
                </w:tcPr>
                <w:p>
                  <w:pPr>
                    <w:adjustRightInd/>
                    <w:spacing w:line="240" w:lineRule="auto"/>
                    <w:ind w:firstLine="0" w:firstLineChars="0"/>
                    <w:jc w:val="left"/>
                    <w:rPr>
                      <w:rFonts w:cs="Times New Roman"/>
                      <w:sz w:val="21"/>
                      <w:szCs w:val="21"/>
                    </w:rPr>
                  </w:pPr>
                </w:p>
              </w:tc>
              <w:tc>
                <w:tcPr>
                  <w:tcW w:w="1268"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2</w:t>
                  </w:r>
                </w:p>
              </w:tc>
              <w:tc>
                <w:tcPr>
                  <w:tcW w:w="1904"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设备费</w:t>
                  </w:r>
                </w:p>
              </w:tc>
              <w:tc>
                <w:tcPr>
                  <w:tcW w:w="166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 xml:space="preserve">0.00 </w:t>
                  </w:r>
                </w:p>
              </w:tc>
              <w:tc>
                <w:tcPr>
                  <w:tcW w:w="348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0.00%</w:t>
                  </w:r>
                </w:p>
              </w:tc>
            </w:tr>
            <w:tr>
              <w:tblPrEx>
                <w:tblLayout w:type="fixed"/>
                <w:tblCellMar>
                  <w:top w:w="0" w:type="dxa"/>
                  <w:left w:w="108" w:type="dxa"/>
                  <w:bottom w:w="0" w:type="dxa"/>
                  <w:right w:w="108" w:type="dxa"/>
                </w:tblCellMar>
              </w:tblPrEx>
              <w:trPr>
                <w:trHeight w:val="312" w:hRule="atLeast"/>
              </w:trPr>
              <w:tc>
                <w:tcPr>
                  <w:tcW w:w="1267" w:type="dxa"/>
                  <w:vMerge w:val="continue"/>
                  <w:tcBorders>
                    <w:top w:val="single" w:color="auto" w:sz="4" w:space="0"/>
                    <w:left w:val="single" w:color="auto" w:sz="4" w:space="0"/>
                    <w:bottom w:val="single" w:color="000000" w:sz="4" w:space="0"/>
                    <w:right w:val="single" w:color="auto" w:sz="4" w:space="0"/>
                  </w:tcBorders>
                  <w:vAlign w:val="center"/>
                </w:tcPr>
                <w:p>
                  <w:pPr>
                    <w:adjustRightInd/>
                    <w:spacing w:line="240" w:lineRule="auto"/>
                    <w:ind w:firstLine="0" w:firstLineChars="0"/>
                    <w:jc w:val="left"/>
                    <w:rPr>
                      <w:rFonts w:cs="Times New Roman"/>
                      <w:sz w:val="21"/>
                      <w:szCs w:val="21"/>
                    </w:rPr>
                  </w:pPr>
                </w:p>
              </w:tc>
              <w:tc>
                <w:tcPr>
                  <w:tcW w:w="1268"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3</w:t>
                  </w:r>
                </w:p>
              </w:tc>
              <w:tc>
                <w:tcPr>
                  <w:tcW w:w="1904"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其他费用</w:t>
                  </w:r>
                </w:p>
              </w:tc>
              <w:tc>
                <w:tcPr>
                  <w:tcW w:w="166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 xml:space="preserve">36.61 </w:t>
                  </w:r>
                </w:p>
              </w:tc>
              <w:tc>
                <w:tcPr>
                  <w:tcW w:w="348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8.10%</w:t>
                  </w:r>
                </w:p>
              </w:tc>
            </w:tr>
            <w:tr>
              <w:tblPrEx>
                <w:tblLayout w:type="fixed"/>
                <w:tblCellMar>
                  <w:top w:w="0" w:type="dxa"/>
                  <w:left w:w="108" w:type="dxa"/>
                  <w:bottom w:w="0" w:type="dxa"/>
                  <w:right w:w="108" w:type="dxa"/>
                </w:tblCellMar>
              </w:tblPrEx>
              <w:trPr>
                <w:trHeight w:val="312" w:hRule="atLeast"/>
              </w:trPr>
              <w:tc>
                <w:tcPr>
                  <w:tcW w:w="1267" w:type="dxa"/>
                  <w:vMerge w:val="continue"/>
                  <w:tcBorders>
                    <w:top w:val="single" w:color="auto" w:sz="4" w:space="0"/>
                    <w:left w:val="single" w:color="auto" w:sz="4" w:space="0"/>
                    <w:bottom w:val="single" w:color="000000" w:sz="4" w:space="0"/>
                    <w:right w:val="single" w:color="auto" w:sz="4" w:space="0"/>
                  </w:tcBorders>
                  <w:vAlign w:val="center"/>
                </w:tcPr>
                <w:p>
                  <w:pPr>
                    <w:adjustRightInd/>
                    <w:spacing w:line="240" w:lineRule="auto"/>
                    <w:ind w:firstLine="0" w:firstLineChars="0"/>
                    <w:jc w:val="left"/>
                    <w:rPr>
                      <w:rFonts w:cs="Times New Roman"/>
                      <w:sz w:val="21"/>
                      <w:szCs w:val="21"/>
                    </w:rPr>
                  </w:pPr>
                </w:p>
              </w:tc>
              <w:tc>
                <w:tcPr>
                  <w:tcW w:w="1268"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4</w:t>
                  </w:r>
                </w:p>
              </w:tc>
              <w:tc>
                <w:tcPr>
                  <w:tcW w:w="1904"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监测与管护费</w:t>
                  </w:r>
                </w:p>
              </w:tc>
              <w:tc>
                <w:tcPr>
                  <w:tcW w:w="1665" w:type="dxa"/>
                  <w:tcBorders>
                    <w:top w:val="nil"/>
                    <w:left w:val="nil"/>
                    <w:bottom w:val="nil"/>
                    <w:right w:val="nil"/>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 xml:space="preserve">73.48 </w:t>
                  </w:r>
                </w:p>
              </w:tc>
              <w:tc>
                <w:tcPr>
                  <w:tcW w:w="3485" w:type="dxa"/>
                  <w:tcBorders>
                    <w:top w:val="nil"/>
                    <w:left w:val="single" w:color="auto" w:sz="4" w:space="0"/>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16.26%</w:t>
                  </w:r>
                </w:p>
              </w:tc>
            </w:tr>
            <w:tr>
              <w:tblPrEx>
                <w:tblLayout w:type="fixed"/>
                <w:tblCellMar>
                  <w:top w:w="0" w:type="dxa"/>
                  <w:left w:w="108" w:type="dxa"/>
                  <w:bottom w:w="0" w:type="dxa"/>
                  <w:right w:w="108" w:type="dxa"/>
                </w:tblCellMar>
              </w:tblPrEx>
              <w:trPr>
                <w:trHeight w:val="288" w:hRule="atLeast"/>
              </w:trPr>
              <w:tc>
                <w:tcPr>
                  <w:tcW w:w="1267" w:type="dxa"/>
                  <w:vMerge w:val="continue"/>
                  <w:tcBorders>
                    <w:top w:val="single" w:color="auto" w:sz="4" w:space="0"/>
                    <w:left w:val="single" w:color="auto" w:sz="4" w:space="0"/>
                    <w:bottom w:val="single" w:color="000000" w:sz="4" w:space="0"/>
                    <w:right w:val="single" w:color="auto" w:sz="4" w:space="0"/>
                  </w:tcBorders>
                  <w:vAlign w:val="center"/>
                </w:tcPr>
                <w:p>
                  <w:pPr>
                    <w:adjustRightInd/>
                    <w:spacing w:line="240" w:lineRule="auto"/>
                    <w:ind w:firstLine="0" w:firstLineChars="0"/>
                    <w:jc w:val="left"/>
                    <w:rPr>
                      <w:rFonts w:cs="Times New Roman"/>
                      <w:sz w:val="21"/>
                      <w:szCs w:val="21"/>
                    </w:rPr>
                  </w:pPr>
                </w:p>
              </w:tc>
              <w:tc>
                <w:tcPr>
                  <w:tcW w:w="1268"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（1）</w:t>
                  </w:r>
                </w:p>
              </w:tc>
              <w:tc>
                <w:tcPr>
                  <w:tcW w:w="1904"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复垦监测费</w:t>
                  </w:r>
                </w:p>
              </w:tc>
              <w:tc>
                <w:tcPr>
                  <w:tcW w:w="1665" w:type="dxa"/>
                  <w:tcBorders>
                    <w:top w:val="single" w:color="auto" w:sz="4" w:space="0"/>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 xml:space="preserve">15.06 </w:t>
                  </w:r>
                </w:p>
              </w:tc>
              <w:tc>
                <w:tcPr>
                  <w:tcW w:w="348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3.33%</w:t>
                  </w:r>
                </w:p>
              </w:tc>
            </w:tr>
            <w:tr>
              <w:tblPrEx>
                <w:tblLayout w:type="fixed"/>
                <w:tblCellMar>
                  <w:top w:w="0" w:type="dxa"/>
                  <w:left w:w="108" w:type="dxa"/>
                  <w:bottom w:w="0" w:type="dxa"/>
                  <w:right w:w="108" w:type="dxa"/>
                </w:tblCellMar>
              </w:tblPrEx>
              <w:trPr>
                <w:trHeight w:val="288" w:hRule="atLeast"/>
              </w:trPr>
              <w:tc>
                <w:tcPr>
                  <w:tcW w:w="1267" w:type="dxa"/>
                  <w:vMerge w:val="continue"/>
                  <w:tcBorders>
                    <w:top w:val="single" w:color="auto" w:sz="4" w:space="0"/>
                    <w:left w:val="single" w:color="auto" w:sz="4" w:space="0"/>
                    <w:bottom w:val="single" w:color="000000" w:sz="4" w:space="0"/>
                    <w:right w:val="single" w:color="auto" w:sz="4" w:space="0"/>
                  </w:tcBorders>
                  <w:vAlign w:val="center"/>
                </w:tcPr>
                <w:p>
                  <w:pPr>
                    <w:adjustRightInd/>
                    <w:spacing w:line="240" w:lineRule="auto"/>
                    <w:ind w:firstLine="0" w:firstLineChars="0"/>
                    <w:jc w:val="left"/>
                    <w:rPr>
                      <w:rFonts w:cs="Times New Roman"/>
                      <w:sz w:val="21"/>
                      <w:szCs w:val="21"/>
                    </w:rPr>
                  </w:pPr>
                </w:p>
              </w:tc>
              <w:tc>
                <w:tcPr>
                  <w:tcW w:w="1268"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（2）</w:t>
                  </w:r>
                </w:p>
              </w:tc>
              <w:tc>
                <w:tcPr>
                  <w:tcW w:w="1904"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管护费</w:t>
                  </w:r>
                </w:p>
              </w:tc>
              <w:tc>
                <w:tcPr>
                  <w:tcW w:w="166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 xml:space="preserve">58.42 </w:t>
                  </w:r>
                </w:p>
              </w:tc>
              <w:tc>
                <w:tcPr>
                  <w:tcW w:w="348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12.93%</w:t>
                  </w:r>
                </w:p>
              </w:tc>
            </w:tr>
            <w:tr>
              <w:tblPrEx>
                <w:tblLayout w:type="fixed"/>
                <w:tblCellMar>
                  <w:top w:w="0" w:type="dxa"/>
                  <w:left w:w="108" w:type="dxa"/>
                  <w:bottom w:w="0" w:type="dxa"/>
                  <w:right w:w="108" w:type="dxa"/>
                </w:tblCellMar>
              </w:tblPrEx>
              <w:trPr>
                <w:trHeight w:val="288" w:hRule="atLeast"/>
              </w:trPr>
              <w:tc>
                <w:tcPr>
                  <w:tcW w:w="1267" w:type="dxa"/>
                  <w:vMerge w:val="continue"/>
                  <w:tcBorders>
                    <w:top w:val="single" w:color="auto" w:sz="4" w:space="0"/>
                    <w:left w:val="single" w:color="auto" w:sz="4" w:space="0"/>
                    <w:bottom w:val="single" w:color="000000" w:sz="4" w:space="0"/>
                    <w:right w:val="single" w:color="auto" w:sz="4" w:space="0"/>
                  </w:tcBorders>
                  <w:vAlign w:val="center"/>
                </w:tcPr>
                <w:p>
                  <w:pPr>
                    <w:adjustRightInd/>
                    <w:spacing w:line="240" w:lineRule="auto"/>
                    <w:ind w:firstLine="0" w:firstLineChars="0"/>
                    <w:jc w:val="left"/>
                    <w:rPr>
                      <w:rFonts w:cs="Times New Roman"/>
                      <w:sz w:val="21"/>
                      <w:szCs w:val="21"/>
                    </w:rPr>
                  </w:pPr>
                </w:p>
              </w:tc>
              <w:tc>
                <w:tcPr>
                  <w:tcW w:w="1268"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5</w:t>
                  </w:r>
                </w:p>
              </w:tc>
              <w:tc>
                <w:tcPr>
                  <w:tcW w:w="1904"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预备费</w:t>
                  </w:r>
                </w:p>
              </w:tc>
              <w:tc>
                <w:tcPr>
                  <w:tcW w:w="166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 xml:space="preserve">82.07 </w:t>
                  </w:r>
                </w:p>
              </w:tc>
              <w:tc>
                <w:tcPr>
                  <w:tcW w:w="348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18.16%</w:t>
                  </w:r>
                </w:p>
              </w:tc>
            </w:tr>
            <w:tr>
              <w:tblPrEx>
                <w:tblLayout w:type="fixed"/>
                <w:tblCellMar>
                  <w:top w:w="0" w:type="dxa"/>
                  <w:left w:w="108" w:type="dxa"/>
                  <w:bottom w:w="0" w:type="dxa"/>
                  <w:right w:w="108" w:type="dxa"/>
                </w:tblCellMar>
              </w:tblPrEx>
              <w:trPr>
                <w:trHeight w:val="288" w:hRule="atLeast"/>
              </w:trPr>
              <w:tc>
                <w:tcPr>
                  <w:tcW w:w="1267" w:type="dxa"/>
                  <w:vMerge w:val="continue"/>
                  <w:tcBorders>
                    <w:top w:val="single" w:color="auto" w:sz="4" w:space="0"/>
                    <w:left w:val="single" w:color="auto" w:sz="4" w:space="0"/>
                    <w:bottom w:val="single" w:color="000000" w:sz="4" w:space="0"/>
                    <w:right w:val="single" w:color="auto" w:sz="4" w:space="0"/>
                  </w:tcBorders>
                  <w:vAlign w:val="center"/>
                </w:tcPr>
                <w:p>
                  <w:pPr>
                    <w:adjustRightInd/>
                    <w:spacing w:line="240" w:lineRule="auto"/>
                    <w:ind w:firstLine="0" w:firstLineChars="0"/>
                    <w:jc w:val="left"/>
                    <w:rPr>
                      <w:rFonts w:cs="Times New Roman"/>
                      <w:sz w:val="21"/>
                      <w:szCs w:val="21"/>
                    </w:rPr>
                  </w:pPr>
                </w:p>
              </w:tc>
              <w:tc>
                <w:tcPr>
                  <w:tcW w:w="1268"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（1）</w:t>
                  </w:r>
                </w:p>
              </w:tc>
              <w:tc>
                <w:tcPr>
                  <w:tcW w:w="1904"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基本预备费</w:t>
                  </w:r>
                </w:p>
              </w:tc>
              <w:tc>
                <w:tcPr>
                  <w:tcW w:w="166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 xml:space="preserve">17.79 </w:t>
                  </w:r>
                </w:p>
              </w:tc>
              <w:tc>
                <w:tcPr>
                  <w:tcW w:w="348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3.94%</w:t>
                  </w:r>
                </w:p>
              </w:tc>
            </w:tr>
            <w:tr>
              <w:tblPrEx>
                <w:tblLayout w:type="fixed"/>
                <w:tblCellMar>
                  <w:top w:w="0" w:type="dxa"/>
                  <w:left w:w="108" w:type="dxa"/>
                  <w:bottom w:w="0" w:type="dxa"/>
                  <w:right w:w="108" w:type="dxa"/>
                </w:tblCellMar>
              </w:tblPrEx>
              <w:trPr>
                <w:trHeight w:val="288" w:hRule="atLeast"/>
              </w:trPr>
              <w:tc>
                <w:tcPr>
                  <w:tcW w:w="1267" w:type="dxa"/>
                  <w:vMerge w:val="continue"/>
                  <w:tcBorders>
                    <w:top w:val="single" w:color="auto" w:sz="4" w:space="0"/>
                    <w:left w:val="single" w:color="auto" w:sz="4" w:space="0"/>
                    <w:bottom w:val="single" w:color="000000" w:sz="4" w:space="0"/>
                    <w:right w:val="single" w:color="auto" w:sz="4" w:space="0"/>
                  </w:tcBorders>
                  <w:vAlign w:val="center"/>
                </w:tcPr>
                <w:p>
                  <w:pPr>
                    <w:adjustRightInd/>
                    <w:spacing w:line="240" w:lineRule="auto"/>
                    <w:ind w:firstLine="0" w:firstLineChars="0"/>
                    <w:jc w:val="left"/>
                    <w:rPr>
                      <w:rFonts w:cs="Times New Roman"/>
                      <w:sz w:val="21"/>
                      <w:szCs w:val="21"/>
                    </w:rPr>
                  </w:pPr>
                </w:p>
              </w:tc>
              <w:tc>
                <w:tcPr>
                  <w:tcW w:w="1268"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（2）</w:t>
                  </w:r>
                </w:p>
              </w:tc>
              <w:tc>
                <w:tcPr>
                  <w:tcW w:w="1904"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价差预备费</w:t>
                  </w:r>
                </w:p>
              </w:tc>
              <w:tc>
                <w:tcPr>
                  <w:tcW w:w="166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 xml:space="preserve">53.18 </w:t>
                  </w:r>
                </w:p>
              </w:tc>
              <w:tc>
                <w:tcPr>
                  <w:tcW w:w="348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11.77%</w:t>
                  </w:r>
                </w:p>
              </w:tc>
            </w:tr>
            <w:tr>
              <w:tblPrEx>
                <w:tblLayout w:type="fixed"/>
                <w:tblCellMar>
                  <w:top w:w="0" w:type="dxa"/>
                  <w:left w:w="108" w:type="dxa"/>
                  <w:bottom w:w="0" w:type="dxa"/>
                  <w:right w:w="108" w:type="dxa"/>
                </w:tblCellMar>
              </w:tblPrEx>
              <w:trPr>
                <w:trHeight w:val="288" w:hRule="atLeast"/>
              </w:trPr>
              <w:tc>
                <w:tcPr>
                  <w:tcW w:w="1267" w:type="dxa"/>
                  <w:vMerge w:val="continue"/>
                  <w:tcBorders>
                    <w:top w:val="single" w:color="auto" w:sz="4" w:space="0"/>
                    <w:left w:val="single" w:color="auto" w:sz="4" w:space="0"/>
                    <w:bottom w:val="single" w:color="000000" w:sz="4" w:space="0"/>
                    <w:right w:val="single" w:color="auto" w:sz="4" w:space="0"/>
                  </w:tcBorders>
                  <w:vAlign w:val="center"/>
                </w:tcPr>
                <w:p>
                  <w:pPr>
                    <w:adjustRightInd/>
                    <w:spacing w:line="240" w:lineRule="auto"/>
                    <w:ind w:firstLine="0" w:firstLineChars="0"/>
                    <w:jc w:val="left"/>
                    <w:rPr>
                      <w:rFonts w:cs="Times New Roman"/>
                      <w:sz w:val="21"/>
                      <w:szCs w:val="21"/>
                    </w:rPr>
                  </w:pPr>
                </w:p>
              </w:tc>
              <w:tc>
                <w:tcPr>
                  <w:tcW w:w="1268"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（3）</w:t>
                  </w:r>
                </w:p>
              </w:tc>
              <w:tc>
                <w:tcPr>
                  <w:tcW w:w="1904"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风险金</w:t>
                  </w:r>
                </w:p>
              </w:tc>
              <w:tc>
                <w:tcPr>
                  <w:tcW w:w="166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 xml:space="preserve">11.10 </w:t>
                  </w:r>
                </w:p>
              </w:tc>
              <w:tc>
                <w:tcPr>
                  <w:tcW w:w="348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2.46%</w:t>
                  </w:r>
                </w:p>
              </w:tc>
            </w:tr>
            <w:tr>
              <w:tblPrEx>
                <w:tblLayout w:type="fixed"/>
                <w:tblCellMar>
                  <w:top w:w="0" w:type="dxa"/>
                  <w:left w:w="108" w:type="dxa"/>
                  <w:bottom w:w="0" w:type="dxa"/>
                  <w:right w:w="108" w:type="dxa"/>
                </w:tblCellMar>
              </w:tblPrEx>
              <w:trPr>
                <w:trHeight w:val="288" w:hRule="atLeast"/>
              </w:trPr>
              <w:tc>
                <w:tcPr>
                  <w:tcW w:w="1267" w:type="dxa"/>
                  <w:vMerge w:val="continue"/>
                  <w:tcBorders>
                    <w:top w:val="single" w:color="auto" w:sz="4" w:space="0"/>
                    <w:left w:val="single" w:color="auto" w:sz="4" w:space="0"/>
                    <w:bottom w:val="single" w:color="000000" w:sz="4" w:space="0"/>
                    <w:right w:val="single" w:color="auto" w:sz="4" w:space="0"/>
                  </w:tcBorders>
                  <w:vAlign w:val="center"/>
                </w:tcPr>
                <w:p>
                  <w:pPr>
                    <w:adjustRightInd/>
                    <w:spacing w:line="240" w:lineRule="auto"/>
                    <w:ind w:firstLine="0" w:firstLineChars="0"/>
                    <w:jc w:val="left"/>
                    <w:rPr>
                      <w:rFonts w:cs="Times New Roman"/>
                      <w:sz w:val="21"/>
                      <w:szCs w:val="21"/>
                    </w:rPr>
                  </w:pPr>
                </w:p>
              </w:tc>
              <w:tc>
                <w:tcPr>
                  <w:tcW w:w="1268"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7</w:t>
                  </w:r>
                </w:p>
              </w:tc>
              <w:tc>
                <w:tcPr>
                  <w:tcW w:w="1904"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不可预见费</w:t>
                  </w:r>
                </w:p>
              </w:tc>
              <w:tc>
                <w:tcPr>
                  <w:tcW w:w="166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 xml:space="preserve">0.00 </w:t>
                  </w:r>
                </w:p>
              </w:tc>
              <w:tc>
                <w:tcPr>
                  <w:tcW w:w="348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0.00%</w:t>
                  </w:r>
                </w:p>
              </w:tc>
            </w:tr>
            <w:tr>
              <w:tblPrEx>
                <w:tblLayout w:type="fixed"/>
                <w:tblCellMar>
                  <w:top w:w="0" w:type="dxa"/>
                  <w:left w:w="108" w:type="dxa"/>
                  <w:bottom w:w="0" w:type="dxa"/>
                  <w:right w:w="108" w:type="dxa"/>
                </w:tblCellMar>
              </w:tblPrEx>
              <w:trPr>
                <w:trHeight w:val="288" w:hRule="atLeast"/>
              </w:trPr>
              <w:tc>
                <w:tcPr>
                  <w:tcW w:w="1267" w:type="dxa"/>
                  <w:vMerge w:val="continue"/>
                  <w:tcBorders>
                    <w:top w:val="single" w:color="auto" w:sz="4" w:space="0"/>
                    <w:left w:val="single" w:color="auto" w:sz="4" w:space="0"/>
                    <w:bottom w:val="single" w:color="000000" w:sz="4" w:space="0"/>
                    <w:right w:val="single" w:color="auto" w:sz="4" w:space="0"/>
                  </w:tcBorders>
                  <w:vAlign w:val="center"/>
                </w:tcPr>
                <w:p>
                  <w:pPr>
                    <w:adjustRightInd/>
                    <w:spacing w:line="240" w:lineRule="auto"/>
                    <w:ind w:firstLine="0" w:firstLineChars="0"/>
                    <w:jc w:val="left"/>
                    <w:rPr>
                      <w:rFonts w:cs="Times New Roman"/>
                      <w:sz w:val="21"/>
                      <w:szCs w:val="21"/>
                    </w:rPr>
                  </w:pPr>
                </w:p>
              </w:tc>
              <w:tc>
                <w:tcPr>
                  <w:tcW w:w="1268"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8</w:t>
                  </w:r>
                </w:p>
              </w:tc>
              <w:tc>
                <w:tcPr>
                  <w:tcW w:w="1904"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静态总投资</w:t>
                  </w:r>
                </w:p>
              </w:tc>
              <w:tc>
                <w:tcPr>
                  <w:tcW w:w="166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 xml:space="preserve">398.81 </w:t>
                  </w:r>
                </w:p>
              </w:tc>
              <w:tc>
                <w:tcPr>
                  <w:tcW w:w="348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88.23%</w:t>
                  </w:r>
                </w:p>
              </w:tc>
            </w:tr>
            <w:tr>
              <w:tblPrEx>
                <w:tblLayout w:type="fixed"/>
                <w:tblCellMar>
                  <w:top w:w="0" w:type="dxa"/>
                  <w:left w:w="108" w:type="dxa"/>
                  <w:bottom w:w="0" w:type="dxa"/>
                  <w:right w:w="108" w:type="dxa"/>
                </w:tblCellMar>
              </w:tblPrEx>
              <w:trPr>
                <w:trHeight w:val="288" w:hRule="atLeast"/>
              </w:trPr>
              <w:tc>
                <w:tcPr>
                  <w:tcW w:w="1267" w:type="dxa"/>
                  <w:vMerge w:val="continue"/>
                  <w:tcBorders>
                    <w:top w:val="single" w:color="auto" w:sz="4" w:space="0"/>
                    <w:left w:val="single" w:color="auto" w:sz="4" w:space="0"/>
                    <w:bottom w:val="single" w:color="000000" w:sz="4" w:space="0"/>
                    <w:right w:val="single" w:color="auto" w:sz="4" w:space="0"/>
                  </w:tcBorders>
                  <w:vAlign w:val="center"/>
                </w:tcPr>
                <w:p>
                  <w:pPr>
                    <w:adjustRightInd/>
                    <w:spacing w:line="240" w:lineRule="auto"/>
                    <w:ind w:firstLine="0" w:firstLineChars="0"/>
                    <w:jc w:val="left"/>
                    <w:rPr>
                      <w:rFonts w:cs="Times New Roman"/>
                      <w:sz w:val="21"/>
                      <w:szCs w:val="21"/>
                    </w:rPr>
                  </w:pPr>
                </w:p>
              </w:tc>
              <w:tc>
                <w:tcPr>
                  <w:tcW w:w="1268"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9</w:t>
                  </w:r>
                </w:p>
              </w:tc>
              <w:tc>
                <w:tcPr>
                  <w:tcW w:w="1904"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动态总投资</w:t>
                  </w:r>
                </w:p>
              </w:tc>
              <w:tc>
                <w:tcPr>
                  <w:tcW w:w="166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 xml:space="preserve">452.00 </w:t>
                  </w:r>
                </w:p>
              </w:tc>
              <w:tc>
                <w:tcPr>
                  <w:tcW w:w="3485" w:type="dxa"/>
                  <w:tcBorders>
                    <w:top w:val="nil"/>
                    <w:left w:val="nil"/>
                    <w:bottom w:val="single" w:color="auto" w:sz="4" w:space="0"/>
                    <w:right w:val="single" w:color="auto" w:sz="4" w:space="0"/>
                  </w:tcBorders>
                  <w:shd w:val="clear" w:color="auto" w:fill="auto"/>
                  <w:noWrap/>
                  <w:vAlign w:val="center"/>
                </w:tcPr>
                <w:p>
                  <w:pPr>
                    <w:adjustRightInd/>
                    <w:spacing w:line="240" w:lineRule="auto"/>
                    <w:ind w:firstLine="0" w:firstLineChars="0"/>
                    <w:jc w:val="center"/>
                    <w:rPr>
                      <w:rFonts w:cs="Times New Roman"/>
                      <w:sz w:val="21"/>
                      <w:szCs w:val="21"/>
                    </w:rPr>
                  </w:pPr>
                  <w:r>
                    <w:rPr>
                      <w:rFonts w:cs="Times New Roman"/>
                      <w:sz w:val="21"/>
                      <w:szCs w:val="21"/>
                    </w:rPr>
                    <w:t>100.00%</w:t>
                  </w:r>
                </w:p>
              </w:tc>
            </w:tr>
          </w:tbl>
          <w:p>
            <w:pPr>
              <w:ind w:firstLine="422"/>
              <w:rPr>
                <w:rFonts w:cs="Times New Roman"/>
                <w:b/>
                <w:sz w:val="21"/>
                <w:szCs w:val="21"/>
              </w:rPr>
            </w:pPr>
          </w:p>
          <w:p>
            <w:pPr>
              <w:ind w:firstLine="422"/>
              <w:rPr>
                <w:rFonts w:cs="Times New Roman"/>
                <w:b/>
                <w:sz w:val="21"/>
                <w:szCs w:val="21"/>
              </w:rPr>
            </w:pPr>
          </w:p>
          <w:p>
            <w:pPr>
              <w:ind w:firstLine="422"/>
              <w:rPr>
                <w:rFonts w:cs="Times New Roman"/>
                <w:b/>
                <w:sz w:val="21"/>
                <w:szCs w:val="21"/>
              </w:rPr>
            </w:pPr>
          </w:p>
          <w:p>
            <w:pPr>
              <w:ind w:firstLine="422"/>
              <w:rPr>
                <w:rFonts w:cs="Times New Roman"/>
                <w:b/>
                <w:sz w:val="21"/>
                <w:szCs w:val="21"/>
              </w:rPr>
            </w:pPr>
          </w:p>
        </w:tc>
      </w:tr>
    </w:tbl>
    <w:p>
      <w:pPr>
        <w:ind w:firstLine="600" w:firstLineChars="250"/>
        <w:rPr>
          <w:rFonts w:eastAsia="仿宋" w:cs="Times New Roman"/>
        </w:rPr>
      </w:pPr>
      <w:r>
        <w:rPr>
          <w:rFonts w:eastAsia="仿宋" w:cs="Times New Roman"/>
        </w:rPr>
        <w:t>填表人：</w:t>
      </w:r>
      <w:r>
        <w:rPr>
          <w:rFonts w:hint="eastAsia" w:eastAsia="仿宋" w:cs="Times New Roman"/>
        </w:rPr>
        <w:t>刘雄</w:t>
      </w:r>
      <w:r>
        <w:rPr>
          <w:rFonts w:eastAsia="仿宋" w:cs="Times New Roman"/>
        </w:rPr>
        <w:t xml:space="preserve">                                </w:t>
      </w:r>
      <w:r>
        <w:rPr>
          <w:rFonts w:hint="eastAsia" w:eastAsia="仿宋" w:cs="Times New Roman"/>
        </w:rPr>
        <w:t xml:space="preserve">                                            </w:t>
      </w:r>
      <w:r>
        <w:rPr>
          <w:rFonts w:eastAsia="仿宋" w:cs="Times New Roman"/>
        </w:rPr>
        <w:t xml:space="preserve">   填表日期：2023年12月</w:t>
      </w:r>
    </w:p>
    <w:p>
      <w:pPr>
        <w:ind w:firstLine="0" w:firstLineChars="0"/>
      </w:pPr>
    </w:p>
    <w:sectPr>
      <w:headerReference r:id="rId11" w:type="default"/>
      <w:footerReference r:id="rId12" w:type="default"/>
      <w:pgSz w:w="11906" w:h="16838"/>
      <w:pgMar w:top="720" w:right="720" w:bottom="720" w:left="720"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9685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286385" cy="196850"/>
                      </a:xfrm>
                      <a:prstGeom prst="rect">
                        <a:avLst/>
                      </a:prstGeom>
                      <a:noFill/>
                      <a:ln>
                        <a:noFill/>
                      </a:ln>
                    </wps:spPr>
                    <wps:txbx>
                      <w:txbxContent>
                        <w:p>
                          <w:pPr>
                            <w:pStyle w:val="16"/>
                            <w:ind w:firstLine="360"/>
                          </w:pPr>
                          <w:r>
                            <w:fldChar w:fldCharType="begin"/>
                          </w:r>
                          <w:r>
                            <w:instrText xml:space="preserve"> PAGE  \* MERGEFORMAT </w:instrText>
                          </w:r>
                          <w:r>
                            <w:fldChar w:fldCharType="separate"/>
                          </w:r>
                          <w:r>
                            <w:t>0</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5.5pt;width:22.55pt;mso-position-horizontal:center;mso-position-horizontal-relative:margin;mso-wrap-style:none;z-index:251661312;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SMWcfRAAAAAwEAAA8AAAAAAAAA&#10;AQAgAAAAIgAAAGRycy9kb3ducmV2LnhtbFBLAQIUABQAAAAIAIdO4kARykpu3wEAALMDAAAOAAAA&#10;AAAAAAEAIAAAACABAABkcnMvZTJvRG9jLnhtbFBLBQYAAAAABgAGAFkBAABxBQAAAAA=&#10;">
              <v:fill on="f" focussize="0,0"/>
              <v:stroke on="f"/>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96850"/>
              <wp:effectExtent l="0" t="0" r="0" b="0"/>
              <wp:wrapNone/>
              <wp:docPr id="4" name="Text Box 6"/>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wps:spPr>
                    <wps:txbx>
                      <w:txbxContent>
                        <w:p>
                          <w:pPr>
                            <w:pStyle w:val="16"/>
                            <w:ind w:firstLine="360"/>
                          </w:pP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5.5pt;width:27.05pt;mso-position-horizontal:center;mso-position-horizontal-relative:margin;mso-wrap-style:none;z-index:251659264;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qOul0QAAAAMBAAAPAAAAAAAA&#10;AAEAIAAAACIAAABkcnMvZG93bnJldi54bWxQSwECFAAUAAAACACHTuJAA8VPWuABAACzAwAADgAA&#10;AAAAAAABACAAAAAgAQAAZHJzL2Uyb0RvYy54bWxQSwUGAAAAAAYABgBZAQAAcgUAAAAA&#10;">
              <v:fill on="f" focussize="0,0"/>
              <v:stroke on="f"/>
              <v:imagedata o:title=""/>
              <o:lock v:ext="edit" aspectratio="f"/>
              <v:textbox inset="0mm,0mm,0mm,0mm" style="mso-fit-shape-to-text:t;">
                <w:txbxContent>
                  <w:p>
                    <w:pPr>
                      <w:pStyle w:val="16"/>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96850"/>
              <wp:effectExtent l="0" t="0" r="0" b="0"/>
              <wp:wrapNone/>
              <wp:docPr id="3" name="Text Box 7"/>
              <wp:cNvGraphicFramePr/>
              <a:graphic xmlns:a="http://schemas.openxmlformats.org/drawingml/2006/main">
                <a:graphicData uri="http://schemas.microsoft.com/office/word/2010/wordprocessingShape">
                  <wps:wsp>
                    <wps:cNvSpPr txBox="1">
                      <a:spLocks noChangeArrowheads="1"/>
                    </wps:cNvSpPr>
                    <wps:spPr bwMode="auto">
                      <a:xfrm>
                        <a:off x="0" y="0"/>
                        <a:ext cx="286385" cy="196850"/>
                      </a:xfrm>
                      <a:prstGeom prst="rect">
                        <a:avLst/>
                      </a:prstGeom>
                      <a:noFill/>
                      <a:ln>
                        <a:noFill/>
                      </a:ln>
                    </wps:spPr>
                    <wps:txbx>
                      <w:txbxContent>
                        <w:p>
                          <w:pPr>
                            <w:pStyle w:val="16"/>
                            <w:ind w:firstLine="360"/>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5.5pt;width:22.55pt;mso-position-horizontal:center;mso-position-horizontal-relative:margin;mso-wrap-style:none;z-index:251660288;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jFnH0QAAAAMBAAAPAAAAAAAA&#10;AAEAIAAAACIAAABkcnMvZG93bnJldi54bWxQSwECFAAUAAAACACHTuJAuIiuDeABAACzAwAADgAA&#10;AAAAAAABACAAAAAgAQAAZHJzL2Uyb0RvYy54bWxQSwUGAAAAAAYABgBZAQAAcgUAAAAA&#10;">
              <v:fill on="f" focussize="0,0"/>
              <v:stroke on="f"/>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86385" cy="196850"/>
              <wp:effectExtent l="0" t="0" r="0" b="0"/>
              <wp:wrapNone/>
              <wp:docPr id="1" name="Text Box 9"/>
              <wp:cNvGraphicFramePr/>
              <a:graphic xmlns:a="http://schemas.openxmlformats.org/drawingml/2006/main">
                <a:graphicData uri="http://schemas.microsoft.com/office/word/2010/wordprocessingShape">
                  <wps:wsp>
                    <wps:cNvSpPr txBox="1">
                      <a:spLocks noChangeArrowheads="1"/>
                    </wps:cNvSpPr>
                    <wps:spPr bwMode="auto">
                      <a:xfrm>
                        <a:off x="0" y="0"/>
                        <a:ext cx="286385" cy="196850"/>
                      </a:xfrm>
                      <a:prstGeom prst="rect">
                        <a:avLst/>
                      </a:prstGeom>
                      <a:noFill/>
                      <a:ln>
                        <a:noFill/>
                      </a:ln>
                    </wps:spPr>
                    <wps:txbx>
                      <w:txbxContent>
                        <w:p>
                          <w:pPr>
                            <w:pStyle w:val="16"/>
                            <w:ind w:firstLine="360"/>
                          </w:pPr>
                          <w:r>
                            <w:fldChar w:fldCharType="begin"/>
                          </w:r>
                          <w:r>
                            <w:instrText xml:space="preserve"> PAGE  \* MERGEFORMAT </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5.5pt;width:22.55pt;mso-position-horizontal:center;mso-position-horizontal-relative:margin;mso-wrap-style:none;z-index:251662336;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IxZx9EAAAADAQAADwAAAAAAAAAB&#10;ACAAAAAiAAAAZHJzL2Rvd25yZXYueG1sUEsBAhQAFAAAAAgAh07iQBPbAYveAQAAswMAAA4AAAAA&#10;AAAAAQAgAAAAIAEAAGRycy9lMm9Eb2MueG1sUEsFBgAAAAAGAAYAWQEAAHAFAAAAAA==&#10;">
              <v:fill on="f" focussize="0,0"/>
              <v:stroke on="f"/>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insoku w:val="0"/>
      <w:overflowPunct w:val="0"/>
      <w:spacing w:line="14" w:lineRule="auto"/>
      <w:ind w:firstLine="480"/>
      <w:rPr>
        <w:rFonts w:cs="Times New Roman" w:eastAsiaTheme="minorEastAsia"/>
        <w:b/>
        <w:bCs/>
        <w:sz w:val="20"/>
        <w:szCs w:val="20"/>
      </w:rPr>
    </w:pPr>
    <w:r>
      <mc:AlternateContent>
        <mc:Choice Requires="wps">
          <w:drawing>
            <wp:anchor distT="0" distB="0" distL="114300" distR="114300" simplePos="0" relativeHeight="251664384" behindDoc="1" locked="0" layoutInCell="0" allowOverlap="1">
              <wp:simplePos x="0" y="0"/>
              <wp:positionH relativeFrom="page">
                <wp:posOffset>3770630</wp:posOffset>
              </wp:positionH>
              <wp:positionV relativeFrom="page">
                <wp:posOffset>544830</wp:posOffset>
              </wp:positionV>
              <wp:extent cx="82550" cy="139700"/>
              <wp:effectExtent l="0" t="1905" r="4445" b="1270"/>
              <wp:wrapNone/>
              <wp:docPr id="2" name="Text Box 13"/>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pStyle w:val="8"/>
                            <w:kinsoku w:val="0"/>
                            <w:overflowPunct w:val="0"/>
                            <w:spacing w:line="200" w:lineRule="exact"/>
                            <w:ind w:left="20" w:firstLine="361"/>
                            <w:rPr>
                              <w:rFonts w:ascii="宋体" w:eastAsia="宋体"/>
                              <w:b/>
                              <w:bCs/>
                              <w:sz w:val="18"/>
                              <w:szCs w:val="18"/>
                            </w:rPr>
                          </w:pP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296.9pt;margin-top:42.9pt;height:11pt;width:6.5pt;mso-position-horizontal-relative:page;mso-position-vertical-relative:page;z-index:-251652096;mso-width-relative:page;mso-height-relative:page;" filled="f" stroked="f" coordsize="21600,21600" o:allowincell="f" o:gfxdata="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EldA2AAAAAoB&#10;AAAPAAAAAAAAAAEAIAAAACIAAABkcnMvZG93bnJldi54bWxQSwECFAAUAAAACACHTuJATM4IyuIB&#10;AAC1AwAADgAAAAAAAAABACAAAAAnAQAAZHJzL2Uyb0RvYy54bWxQSwUGAAAAAAYABgBZAQAAewUA&#10;AAAA&#10;">
              <v:fill on="f" focussize="0,0"/>
              <v:stroke on="f"/>
              <v:imagedata o:title=""/>
              <o:lock v:ext="edit" aspectratio="f"/>
              <v:textbox inset="0mm,0mm,0mm,0mm">
                <w:txbxContent>
                  <w:p>
                    <w:pPr>
                      <w:pStyle w:val="8"/>
                      <w:kinsoku w:val="0"/>
                      <w:overflowPunct w:val="0"/>
                      <w:spacing w:line="200" w:lineRule="exact"/>
                      <w:ind w:left="20" w:firstLine="361"/>
                      <w:rPr>
                        <w:rFonts w:ascii="宋体" w:eastAsia="宋体"/>
                        <w:b/>
                        <w:bCs/>
                        <w:sz w:val="18"/>
                        <w:szCs w:val="18"/>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spacing w:line="240" w:lineRule="auto"/>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06A33B"/>
    <w:multiLevelType w:val="singleLevel"/>
    <w:tmpl w:val="EB06A33B"/>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hideSpellingErrors/>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lMGVjMWQxZjUwZjQzNWMxYjE2NWNjNTJiY2EwMWQifQ=="/>
  </w:docVars>
  <w:rsids>
    <w:rsidRoot w:val="45D15E81"/>
    <w:rsid w:val="00000BB8"/>
    <w:rsid w:val="0000277E"/>
    <w:rsid w:val="00002EFA"/>
    <w:rsid w:val="00003EB1"/>
    <w:rsid w:val="00006CF8"/>
    <w:rsid w:val="00015F51"/>
    <w:rsid w:val="00016D46"/>
    <w:rsid w:val="00021A38"/>
    <w:rsid w:val="0002446C"/>
    <w:rsid w:val="00024FD9"/>
    <w:rsid w:val="0002727D"/>
    <w:rsid w:val="000311B1"/>
    <w:rsid w:val="00031598"/>
    <w:rsid w:val="000316C8"/>
    <w:rsid w:val="00031CFF"/>
    <w:rsid w:val="00032D2E"/>
    <w:rsid w:val="00036D42"/>
    <w:rsid w:val="00037EAA"/>
    <w:rsid w:val="00041301"/>
    <w:rsid w:val="00045A18"/>
    <w:rsid w:val="00046108"/>
    <w:rsid w:val="0005151C"/>
    <w:rsid w:val="000544C4"/>
    <w:rsid w:val="00054FF4"/>
    <w:rsid w:val="00056B9C"/>
    <w:rsid w:val="00057F4A"/>
    <w:rsid w:val="00060AA3"/>
    <w:rsid w:val="00061CFB"/>
    <w:rsid w:val="000638C5"/>
    <w:rsid w:val="000643A9"/>
    <w:rsid w:val="00065752"/>
    <w:rsid w:val="00070A93"/>
    <w:rsid w:val="00075D5F"/>
    <w:rsid w:val="000800F4"/>
    <w:rsid w:val="000803B1"/>
    <w:rsid w:val="00082667"/>
    <w:rsid w:val="00083FEA"/>
    <w:rsid w:val="0008473E"/>
    <w:rsid w:val="00084D79"/>
    <w:rsid w:val="000858C3"/>
    <w:rsid w:val="00085FDF"/>
    <w:rsid w:val="00087F15"/>
    <w:rsid w:val="00087FB2"/>
    <w:rsid w:val="0009227E"/>
    <w:rsid w:val="00093F77"/>
    <w:rsid w:val="00094D75"/>
    <w:rsid w:val="00096680"/>
    <w:rsid w:val="000A0FDB"/>
    <w:rsid w:val="000A1609"/>
    <w:rsid w:val="000A1967"/>
    <w:rsid w:val="000A4B0F"/>
    <w:rsid w:val="000A545C"/>
    <w:rsid w:val="000B0234"/>
    <w:rsid w:val="000B1AB1"/>
    <w:rsid w:val="000B216E"/>
    <w:rsid w:val="000B2D7B"/>
    <w:rsid w:val="000C1FF9"/>
    <w:rsid w:val="000C36E2"/>
    <w:rsid w:val="000C3ED6"/>
    <w:rsid w:val="000C55AC"/>
    <w:rsid w:val="000C701E"/>
    <w:rsid w:val="000C7985"/>
    <w:rsid w:val="000C7BCA"/>
    <w:rsid w:val="000D08B0"/>
    <w:rsid w:val="000D1AB6"/>
    <w:rsid w:val="000D222A"/>
    <w:rsid w:val="000D578E"/>
    <w:rsid w:val="000E12C4"/>
    <w:rsid w:val="000E5597"/>
    <w:rsid w:val="000E62F1"/>
    <w:rsid w:val="000F4F0B"/>
    <w:rsid w:val="000F59ED"/>
    <w:rsid w:val="000F65CE"/>
    <w:rsid w:val="000F6CB1"/>
    <w:rsid w:val="001018BB"/>
    <w:rsid w:val="00101BEB"/>
    <w:rsid w:val="00101D69"/>
    <w:rsid w:val="00103DED"/>
    <w:rsid w:val="0010485D"/>
    <w:rsid w:val="00104CCC"/>
    <w:rsid w:val="00105534"/>
    <w:rsid w:val="00105AB9"/>
    <w:rsid w:val="00106001"/>
    <w:rsid w:val="00106219"/>
    <w:rsid w:val="0010754C"/>
    <w:rsid w:val="00110FC4"/>
    <w:rsid w:val="001110D8"/>
    <w:rsid w:val="001153FD"/>
    <w:rsid w:val="00115E51"/>
    <w:rsid w:val="001171CA"/>
    <w:rsid w:val="00117329"/>
    <w:rsid w:val="00117B23"/>
    <w:rsid w:val="001202B9"/>
    <w:rsid w:val="00120B40"/>
    <w:rsid w:val="00123987"/>
    <w:rsid w:val="001244C1"/>
    <w:rsid w:val="001256F0"/>
    <w:rsid w:val="0012571E"/>
    <w:rsid w:val="00125A1F"/>
    <w:rsid w:val="001272AD"/>
    <w:rsid w:val="00127B59"/>
    <w:rsid w:val="00130B72"/>
    <w:rsid w:val="001319FC"/>
    <w:rsid w:val="00132E54"/>
    <w:rsid w:val="00134EAF"/>
    <w:rsid w:val="00135BB1"/>
    <w:rsid w:val="00140B9B"/>
    <w:rsid w:val="0014188F"/>
    <w:rsid w:val="00144D0A"/>
    <w:rsid w:val="0014569B"/>
    <w:rsid w:val="00147F77"/>
    <w:rsid w:val="0015021F"/>
    <w:rsid w:val="0015185F"/>
    <w:rsid w:val="00153F74"/>
    <w:rsid w:val="00154B5A"/>
    <w:rsid w:val="0015731D"/>
    <w:rsid w:val="001578EC"/>
    <w:rsid w:val="00164D5C"/>
    <w:rsid w:val="00170AE5"/>
    <w:rsid w:val="001733D5"/>
    <w:rsid w:val="00173D8E"/>
    <w:rsid w:val="00175774"/>
    <w:rsid w:val="00176597"/>
    <w:rsid w:val="00180911"/>
    <w:rsid w:val="00182652"/>
    <w:rsid w:val="0018526A"/>
    <w:rsid w:val="00192F7D"/>
    <w:rsid w:val="0019367D"/>
    <w:rsid w:val="001936FC"/>
    <w:rsid w:val="00193DB8"/>
    <w:rsid w:val="00195A57"/>
    <w:rsid w:val="00196BFB"/>
    <w:rsid w:val="00196DA9"/>
    <w:rsid w:val="00197800"/>
    <w:rsid w:val="001A0D7D"/>
    <w:rsid w:val="001A0DA9"/>
    <w:rsid w:val="001A31EA"/>
    <w:rsid w:val="001A53D0"/>
    <w:rsid w:val="001B13EF"/>
    <w:rsid w:val="001B1690"/>
    <w:rsid w:val="001B20E9"/>
    <w:rsid w:val="001B2C73"/>
    <w:rsid w:val="001B3C55"/>
    <w:rsid w:val="001B452D"/>
    <w:rsid w:val="001B4F79"/>
    <w:rsid w:val="001B5DBD"/>
    <w:rsid w:val="001C0E74"/>
    <w:rsid w:val="001C5F98"/>
    <w:rsid w:val="001C79C5"/>
    <w:rsid w:val="001D1DFD"/>
    <w:rsid w:val="001D3253"/>
    <w:rsid w:val="001D780C"/>
    <w:rsid w:val="001E1163"/>
    <w:rsid w:val="001E4483"/>
    <w:rsid w:val="001E6F67"/>
    <w:rsid w:val="001F14E4"/>
    <w:rsid w:val="001F268D"/>
    <w:rsid w:val="001F45D2"/>
    <w:rsid w:val="001F4EDB"/>
    <w:rsid w:val="001F6110"/>
    <w:rsid w:val="001F6694"/>
    <w:rsid w:val="001F6A0B"/>
    <w:rsid w:val="001F6AE2"/>
    <w:rsid w:val="002025F1"/>
    <w:rsid w:val="00202752"/>
    <w:rsid w:val="00203FD7"/>
    <w:rsid w:val="00205896"/>
    <w:rsid w:val="00206038"/>
    <w:rsid w:val="0020760A"/>
    <w:rsid w:val="00210094"/>
    <w:rsid w:val="00216663"/>
    <w:rsid w:val="00216F41"/>
    <w:rsid w:val="00227D36"/>
    <w:rsid w:val="00231768"/>
    <w:rsid w:val="002318DC"/>
    <w:rsid w:val="00232255"/>
    <w:rsid w:val="00233C4E"/>
    <w:rsid w:val="00234AE9"/>
    <w:rsid w:val="00234E4A"/>
    <w:rsid w:val="00236CA5"/>
    <w:rsid w:val="00240383"/>
    <w:rsid w:val="00240E35"/>
    <w:rsid w:val="00241001"/>
    <w:rsid w:val="00241807"/>
    <w:rsid w:val="002445F2"/>
    <w:rsid w:val="00245CD3"/>
    <w:rsid w:val="002461C5"/>
    <w:rsid w:val="002501C8"/>
    <w:rsid w:val="002507CE"/>
    <w:rsid w:val="002515EF"/>
    <w:rsid w:val="00252F1A"/>
    <w:rsid w:val="00254E1C"/>
    <w:rsid w:val="002620C5"/>
    <w:rsid w:val="00262AD2"/>
    <w:rsid w:val="002643F1"/>
    <w:rsid w:val="00265968"/>
    <w:rsid w:val="00265E48"/>
    <w:rsid w:val="00271D79"/>
    <w:rsid w:val="00272AD7"/>
    <w:rsid w:val="00272DA9"/>
    <w:rsid w:val="00274BB9"/>
    <w:rsid w:val="00274EE5"/>
    <w:rsid w:val="00275C0C"/>
    <w:rsid w:val="00276B23"/>
    <w:rsid w:val="00281315"/>
    <w:rsid w:val="00282DDF"/>
    <w:rsid w:val="002850D8"/>
    <w:rsid w:val="00285F3B"/>
    <w:rsid w:val="00286327"/>
    <w:rsid w:val="0028737A"/>
    <w:rsid w:val="00287C7F"/>
    <w:rsid w:val="00290898"/>
    <w:rsid w:val="0029241A"/>
    <w:rsid w:val="002932D6"/>
    <w:rsid w:val="00293DB0"/>
    <w:rsid w:val="00297508"/>
    <w:rsid w:val="00297AE9"/>
    <w:rsid w:val="002A13F8"/>
    <w:rsid w:val="002A4DA0"/>
    <w:rsid w:val="002A5327"/>
    <w:rsid w:val="002A5504"/>
    <w:rsid w:val="002A6771"/>
    <w:rsid w:val="002A7C4F"/>
    <w:rsid w:val="002B08C0"/>
    <w:rsid w:val="002B1710"/>
    <w:rsid w:val="002B1B04"/>
    <w:rsid w:val="002B2F12"/>
    <w:rsid w:val="002B4624"/>
    <w:rsid w:val="002B4E61"/>
    <w:rsid w:val="002B6AE7"/>
    <w:rsid w:val="002B7B5D"/>
    <w:rsid w:val="002C16B4"/>
    <w:rsid w:val="002C1EED"/>
    <w:rsid w:val="002C2681"/>
    <w:rsid w:val="002C2883"/>
    <w:rsid w:val="002C3B04"/>
    <w:rsid w:val="002C49A2"/>
    <w:rsid w:val="002C4AE9"/>
    <w:rsid w:val="002C53EA"/>
    <w:rsid w:val="002C5F86"/>
    <w:rsid w:val="002C6294"/>
    <w:rsid w:val="002D0401"/>
    <w:rsid w:val="002D1350"/>
    <w:rsid w:val="002D1B6A"/>
    <w:rsid w:val="002D793F"/>
    <w:rsid w:val="002E3254"/>
    <w:rsid w:val="002E3DE0"/>
    <w:rsid w:val="002E53F2"/>
    <w:rsid w:val="002E57D0"/>
    <w:rsid w:val="002E601C"/>
    <w:rsid w:val="002E74DF"/>
    <w:rsid w:val="002E7BC0"/>
    <w:rsid w:val="002F0EFB"/>
    <w:rsid w:val="002F1EB7"/>
    <w:rsid w:val="002F3BC5"/>
    <w:rsid w:val="002F5655"/>
    <w:rsid w:val="002F6258"/>
    <w:rsid w:val="002F654F"/>
    <w:rsid w:val="002F7446"/>
    <w:rsid w:val="0030011A"/>
    <w:rsid w:val="00300E1D"/>
    <w:rsid w:val="00301BBA"/>
    <w:rsid w:val="00302176"/>
    <w:rsid w:val="00306913"/>
    <w:rsid w:val="00306AC6"/>
    <w:rsid w:val="00307ABA"/>
    <w:rsid w:val="00307ADC"/>
    <w:rsid w:val="00310004"/>
    <w:rsid w:val="00310AD8"/>
    <w:rsid w:val="00312732"/>
    <w:rsid w:val="00314A4C"/>
    <w:rsid w:val="0031667E"/>
    <w:rsid w:val="003170A6"/>
    <w:rsid w:val="00321907"/>
    <w:rsid w:val="0032212F"/>
    <w:rsid w:val="00324AA3"/>
    <w:rsid w:val="00326DEB"/>
    <w:rsid w:val="00330703"/>
    <w:rsid w:val="00330D40"/>
    <w:rsid w:val="00332358"/>
    <w:rsid w:val="00333A71"/>
    <w:rsid w:val="00334634"/>
    <w:rsid w:val="003355C9"/>
    <w:rsid w:val="003356A7"/>
    <w:rsid w:val="00335C12"/>
    <w:rsid w:val="00341FB2"/>
    <w:rsid w:val="00345295"/>
    <w:rsid w:val="00345C60"/>
    <w:rsid w:val="00346482"/>
    <w:rsid w:val="0035080B"/>
    <w:rsid w:val="00351369"/>
    <w:rsid w:val="00352234"/>
    <w:rsid w:val="00357CE9"/>
    <w:rsid w:val="00357F90"/>
    <w:rsid w:val="003612EC"/>
    <w:rsid w:val="00362D61"/>
    <w:rsid w:val="00365484"/>
    <w:rsid w:val="003667D9"/>
    <w:rsid w:val="00367E9C"/>
    <w:rsid w:val="00370389"/>
    <w:rsid w:val="0037290E"/>
    <w:rsid w:val="00372BB0"/>
    <w:rsid w:val="00373DD6"/>
    <w:rsid w:val="00374A87"/>
    <w:rsid w:val="003808D0"/>
    <w:rsid w:val="0038153C"/>
    <w:rsid w:val="003906DB"/>
    <w:rsid w:val="003918D6"/>
    <w:rsid w:val="00393811"/>
    <w:rsid w:val="00394C69"/>
    <w:rsid w:val="00395455"/>
    <w:rsid w:val="0039786D"/>
    <w:rsid w:val="003A0708"/>
    <w:rsid w:val="003A15A2"/>
    <w:rsid w:val="003A27EF"/>
    <w:rsid w:val="003A35F4"/>
    <w:rsid w:val="003A4782"/>
    <w:rsid w:val="003A4F96"/>
    <w:rsid w:val="003A5748"/>
    <w:rsid w:val="003A5997"/>
    <w:rsid w:val="003A61DA"/>
    <w:rsid w:val="003A629C"/>
    <w:rsid w:val="003B0671"/>
    <w:rsid w:val="003B2429"/>
    <w:rsid w:val="003B542A"/>
    <w:rsid w:val="003B54C2"/>
    <w:rsid w:val="003B5F1A"/>
    <w:rsid w:val="003B6D12"/>
    <w:rsid w:val="003B7CC7"/>
    <w:rsid w:val="003C230D"/>
    <w:rsid w:val="003C30F3"/>
    <w:rsid w:val="003C39CF"/>
    <w:rsid w:val="003C3D67"/>
    <w:rsid w:val="003C443D"/>
    <w:rsid w:val="003C7CA4"/>
    <w:rsid w:val="003D4DE8"/>
    <w:rsid w:val="003D4EFE"/>
    <w:rsid w:val="003D5137"/>
    <w:rsid w:val="003D6927"/>
    <w:rsid w:val="003D76A6"/>
    <w:rsid w:val="003E0679"/>
    <w:rsid w:val="003E1529"/>
    <w:rsid w:val="003E39BF"/>
    <w:rsid w:val="003E5DC6"/>
    <w:rsid w:val="003F04A2"/>
    <w:rsid w:val="003F18FA"/>
    <w:rsid w:val="003F460B"/>
    <w:rsid w:val="003F707E"/>
    <w:rsid w:val="003F7188"/>
    <w:rsid w:val="0040376A"/>
    <w:rsid w:val="004054AC"/>
    <w:rsid w:val="004055BA"/>
    <w:rsid w:val="00406B78"/>
    <w:rsid w:val="00410C2E"/>
    <w:rsid w:val="00410CF7"/>
    <w:rsid w:val="00411458"/>
    <w:rsid w:val="00411FAB"/>
    <w:rsid w:val="004122B3"/>
    <w:rsid w:val="00413D85"/>
    <w:rsid w:val="0041461F"/>
    <w:rsid w:val="004149BF"/>
    <w:rsid w:val="00414F4D"/>
    <w:rsid w:val="0041753A"/>
    <w:rsid w:val="004239CB"/>
    <w:rsid w:val="00425760"/>
    <w:rsid w:val="00427A82"/>
    <w:rsid w:val="00427ABB"/>
    <w:rsid w:val="00432407"/>
    <w:rsid w:val="00432CAE"/>
    <w:rsid w:val="00437CEC"/>
    <w:rsid w:val="004409CF"/>
    <w:rsid w:val="00440CEB"/>
    <w:rsid w:val="00441451"/>
    <w:rsid w:val="004421A3"/>
    <w:rsid w:val="00442A97"/>
    <w:rsid w:val="00446B2A"/>
    <w:rsid w:val="0045191A"/>
    <w:rsid w:val="004561D0"/>
    <w:rsid w:val="00456EA5"/>
    <w:rsid w:val="00457A7F"/>
    <w:rsid w:val="00457D40"/>
    <w:rsid w:val="004600C8"/>
    <w:rsid w:val="00462474"/>
    <w:rsid w:val="00462FD9"/>
    <w:rsid w:val="004631FC"/>
    <w:rsid w:val="00472F8D"/>
    <w:rsid w:val="00473382"/>
    <w:rsid w:val="00473453"/>
    <w:rsid w:val="00474C47"/>
    <w:rsid w:val="00475BCB"/>
    <w:rsid w:val="00476BC5"/>
    <w:rsid w:val="00480025"/>
    <w:rsid w:val="004826BB"/>
    <w:rsid w:val="00484CD8"/>
    <w:rsid w:val="0048595F"/>
    <w:rsid w:val="00487A01"/>
    <w:rsid w:val="00487E0C"/>
    <w:rsid w:val="00494D6A"/>
    <w:rsid w:val="00496799"/>
    <w:rsid w:val="0049755D"/>
    <w:rsid w:val="004A196D"/>
    <w:rsid w:val="004B3679"/>
    <w:rsid w:val="004B5B5D"/>
    <w:rsid w:val="004B5D02"/>
    <w:rsid w:val="004B683F"/>
    <w:rsid w:val="004B68B6"/>
    <w:rsid w:val="004C1C40"/>
    <w:rsid w:val="004C1E0B"/>
    <w:rsid w:val="004C26D9"/>
    <w:rsid w:val="004C47EB"/>
    <w:rsid w:val="004C4A26"/>
    <w:rsid w:val="004C73ED"/>
    <w:rsid w:val="004D0ABB"/>
    <w:rsid w:val="004D3610"/>
    <w:rsid w:val="004D4291"/>
    <w:rsid w:val="004D4A31"/>
    <w:rsid w:val="004D4E0A"/>
    <w:rsid w:val="004D55C0"/>
    <w:rsid w:val="004D6F81"/>
    <w:rsid w:val="004D77A2"/>
    <w:rsid w:val="004E08B6"/>
    <w:rsid w:val="004E0E56"/>
    <w:rsid w:val="004E44C4"/>
    <w:rsid w:val="004E46B8"/>
    <w:rsid w:val="004F0FC7"/>
    <w:rsid w:val="004F3AFF"/>
    <w:rsid w:val="00500477"/>
    <w:rsid w:val="00504D46"/>
    <w:rsid w:val="00506483"/>
    <w:rsid w:val="00506769"/>
    <w:rsid w:val="00511779"/>
    <w:rsid w:val="00511C28"/>
    <w:rsid w:val="005129DF"/>
    <w:rsid w:val="005147E0"/>
    <w:rsid w:val="0051505F"/>
    <w:rsid w:val="005221BD"/>
    <w:rsid w:val="0052222A"/>
    <w:rsid w:val="005250A9"/>
    <w:rsid w:val="00525AA8"/>
    <w:rsid w:val="00525CB7"/>
    <w:rsid w:val="00530D94"/>
    <w:rsid w:val="005312DF"/>
    <w:rsid w:val="00532023"/>
    <w:rsid w:val="00532029"/>
    <w:rsid w:val="005345DD"/>
    <w:rsid w:val="00535BFD"/>
    <w:rsid w:val="00537C6C"/>
    <w:rsid w:val="00541DDF"/>
    <w:rsid w:val="00542BDA"/>
    <w:rsid w:val="00543A7F"/>
    <w:rsid w:val="00544BFC"/>
    <w:rsid w:val="00547B59"/>
    <w:rsid w:val="00550BB8"/>
    <w:rsid w:val="005530AF"/>
    <w:rsid w:val="005533AE"/>
    <w:rsid w:val="00556C7A"/>
    <w:rsid w:val="00557C1A"/>
    <w:rsid w:val="005611F3"/>
    <w:rsid w:val="00561CA4"/>
    <w:rsid w:val="00562126"/>
    <w:rsid w:val="005623F5"/>
    <w:rsid w:val="0056498C"/>
    <w:rsid w:val="00564BE2"/>
    <w:rsid w:val="005657B6"/>
    <w:rsid w:val="005719E7"/>
    <w:rsid w:val="00573DF4"/>
    <w:rsid w:val="00574513"/>
    <w:rsid w:val="00576A11"/>
    <w:rsid w:val="00577AEF"/>
    <w:rsid w:val="00583638"/>
    <w:rsid w:val="00593BAC"/>
    <w:rsid w:val="0059522C"/>
    <w:rsid w:val="0059604C"/>
    <w:rsid w:val="00597A4A"/>
    <w:rsid w:val="005A0520"/>
    <w:rsid w:val="005A29EA"/>
    <w:rsid w:val="005A3682"/>
    <w:rsid w:val="005A5152"/>
    <w:rsid w:val="005B1434"/>
    <w:rsid w:val="005B2AED"/>
    <w:rsid w:val="005B374A"/>
    <w:rsid w:val="005B3A15"/>
    <w:rsid w:val="005B3D07"/>
    <w:rsid w:val="005B51B7"/>
    <w:rsid w:val="005B763D"/>
    <w:rsid w:val="005C08F6"/>
    <w:rsid w:val="005C0FB9"/>
    <w:rsid w:val="005C324F"/>
    <w:rsid w:val="005C373B"/>
    <w:rsid w:val="005C4580"/>
    <w:rsid w:val="005D177A"/>
    <w:rsid w:val="005D2626"/>
    <w:rsid w:val="005D47C3"/>
    <w:rsid w:val="005D4FE6"/>
    <w:rsid w:val="005D6788"/>
    <w:rsid w:val="005D75E5"/>
    <w:rsid w:val="005E04D4"/>
    <w:rsid w:val="005E1F84"/>
    <w:rsid w:val="005E3825"/>
    <w:rsid w:val="005E6CD9"/>
    <w:rsid w:val="005E7F1E"/>
    <w:rsid w:val="005F0AA2"/>
    <w:rsid w:val="005F0CE9"/>
    <w:rsid w:val="005F1442"/>
    <w:rsid w:val="005F2585"/>
    <w:rsid w:val="005F2A0C"/>
    <w:rsid w:val="005F3EDA"/>
    <w:rsid w:val="005F5189"/>
    <w:rsid w:val="00605616"/>
    <w:rsid w:val="00605735"/>
    <w:rsid w:val="00610E00"/>
    <w:rsid w:val="00612847"/>
    <w:rsid w:val="00612A90"/>
    <w:rsid w:val="0062199D"/>
    <w:rsid w:val="00623FC9"/>
    <w:rsid w:val="0062464D"/>
    <w:rsid w:val="00627AAF"/>
    <w:rsid w:val="00632B2B"/>
    <w:rsid w:val="006354F1"/>
    <w:rsid w:val="006358BF"/>
    <w:rsid w:val="00637A65"/>
    <w:rsid w:val="00637CAE"/>
    <w:rsid w:val="00640A44"/>
    <w:rsid w:val="00641F58"/>
    <w:rsid w:val="00642D61"/>
    <w:rsid w:val="006432FF"/>
    <w:rsid w:val="006445BE"/>
    <w:rsid w:val="00644DA6"/>
    <w:rsid w:val="00645C30"/>
    <w:rsid w:val="0064667A"/>
    <w:rsid w:val="0064727E"/>
    <w:rsid w:val="00651546"/>
    <w:rsid w:val="00660071"/>
    <w:rsid w:val="0066187F"/>
    <w:rsid w:val="0066382A"/>
    <w:rsid w:val="006667F4"/>
    <w:rsid w:val="00666CEF"/>
    <w:rsid w:val="00667D9A"/>
    <w:rsid w:val="006726FB"/>
    <w:rsid w:val="00673231"/>
    <w:rsid w:val="00674347"/>
    <w:rsid w:val="00674AB8"/>
    <w:rsid w:val="00680A6D"/>
    <w:rsid w:val="00681BA6"/>
    <w:rsid w:val="00682A88"/>
    <w:rsid w:val="0068332B"/>
    <w:rsid w:val="00683634"/>
    <w:rsid w:val="006838C8"/>
    <w:rsid w:val="00684490"/>
    <w:rsid w:val="0069047E"/>
    <w:rsid w:val="0069493B"/>
    <w:rsid w:val="00694BD0"/>
    <w:rsid w:val="0069729D"/>
    <w:rsid w:val="006A0BBA"/>
    <w:rsid w:val="006A15F3"/>
    <w:rsid w:val="006A17F5"/>
    <w:rsid w:val="006A19FC"/>
    <w:rsid w:val="006A1C73"/>
    <w:rsid w:val="006A2DDE"/>
    <w:rsid w:val="006A385F"/>
    <w:rsid w:val="006A630B"/>
    <w:rsid w:val="006A7C0C"/>
    <w:rsid w:val="006B09CF"/>
    <w:rsid w:val="006B179C"/>
    <w:rsid w:val="006B303E"/>
    <w:rsid w:val="006C24B8"/>
    <w:rsid w:val="006C35B0"/>
    <w:rsid w:val="006C52FC"/>
    <w:rsid w:val="006C69D3"/>
    <w:rsid w:val="006C6F3C"/>
    <w:rsid w:val="006C7DBC"/>
    <w:rsid w:val="006D3CE6"/>
    <w:rsid w:val="006D5443"/>
    <w:rsid w:val="006D5882"/>
    <w:rsid w:val="006D5A2C"/>
    <w:rsid w:val="006D636F"/>
    <w:rsid w:val="006D7E13"/>
    <w:rsid w:val="006E1D9B"/>
    <w:rsid w:val="006E48BD"/>
    <w:rsid w:val="006E5D67"/>
    <w:rsid w:val="006E6369"/>
    <w:rsid w:val="006F238C"/>
    <w:rsid w:val="006F66B1"/>
    <w:rsid w:val="0070040D"/>
    <w:rsid w:val="00700E9B"/>
    <w:rsid w:val="007016BD"/>
    <w:rsid w:val="00704336"/>
    <w:rsid w:val="007045BA"/>
    <w:rsid w:val="00704BD1"/>
    <w:rsid w:val="00710BBB"/>
    <w:rsid w:val="0071146C"/>
    <w:rsid w:val="00711B31"/>
    <w:rsid w:val="00711D5C"/>
    <w:rsid w:val="00713A15"/>
    <w:rsid w:val="007140C0"/>
    <w:rsid w:val="0071425E"/>
    <w:rsid w:val="007142EC"/>
    <w:rsid w:val="00714723"/>
    <w:rsid w:val="00714C8F"/>
    <w:rsid w:val="007150DB"/>
    <w:rsid w:val="00715333"/>
    <w:rsid w:val="00717A80"/>
    <w:rsid w:val="0072054F"/>
    <w:rsid w:val="00721698"/>
    <w:rsid w:val="0072209D"/>
    <w:rsid w:val="007223B4"/>
    <w:rsid w:val="00723984"/>
    <w:rsid w:val="00723A93"/>
    <w:rsid w:val="00724BB3"/>
    <w:rsid w:val="0072620C"/>
    <w:rsid w:val="0073072D"/>
    <w:rsid w:val="0073265E"/>
    <w:rsid w:val="00732D6D"/>
    <w:rsid w:val="00732EB4"/>
    <w:rsid w:val="007335A4"/>
    <w:rsid w:val="00733C8B"/>
    <w:rsid w:val="00734145"/>
    <w:rsid w:val="00734C7F"/>
    <w:rsid w:val="00735026"/>
    <w:rsid w:val="00740650"/>
    <w:rsid w:val="00740C6C"/>
    <w:rsid w:val="007439EF"/>
    <w:rsid w:val="00745537"/>
    <w:rsid w:val="00747B5D"/>
    <w:rsid w:val="0075105B"/>
    <w:rsid w:val="00755414"/>
    <w:rsid w:val="00760533"/>
    <w:rsid w:val="0076177A"/>
    <w:rsid w:val="00767C6F"/>
    <w:rsid w:val="00771282"/>
    <w:rsid w:val="00773E54"/>
    <w:rsid w:val="00773EB5"/>
    <w:rsid w:val="00777A50"/>
    <w:rsid w:val="0078302D"/>
    <w:rsid w:val="007832BB"/>
    <w:rsid w:val="00783CA8"/>
    <w:rsid w:val="00786359"/>
    <w:rsid w:val="007878D3"/>
    <w:rsid w:val="007913D2"/>
    <w:rsid w:val="00791523"/>
    <w:rsid w:val="00791600"/>
    <w:rsid w:val="00792F06"/>
    <w:rsid w:val="00793E27"/>
    <w:rsid w:val="00795A6D"/>
    <w:rsid w:val="007974DF"/>
    <w:rsid w:val="00797EF9"/>
    <w:rsid w:val="007A0829"/>
    <w:rsid w:val="007A09C6"/>
    <w:rsid w:val="007A2CC3"/>
    <w:rsid w:val="007A4769"/>
    <w:rsid w:val="007A4EC5"/>
    <w:rsid w:val="007A50F2"/>
    <w:rsid w:val="007A7186"/>
    <w:rsid w:val="007B17A0"/>
    <w:rsid w:val="007B5316"/>
    <w:rsid w:val="007B60F6"/>
    <w:rsid w:val="007B67F9"/>
    <w:rsid w:val="007B7A33"/>
    <w:rsid w:val="007C00D8"/>
    <w:rsid w:val="007C03F5"/>
    <w:rsid w:val="007C10A6"/>
    <w:rsid w:val="007C4804"/>
    <w:rsid w:val="007D1A92"/>
    <w:rsid w:val="007D3B2F"/>
    <w:rsid w:val="007D3E45"/>
    <w:rsid w:val="007D539D"/>
    <w:rsid w:val="007D5CC3"/>
    <w:rsid w:val="007D6220"/>
    <w:rsid w:val="007E0814"/>
    <w:rsid w:val="007E53E4"/>
    <w:rsid w:val="007E5C65"/>
    <w:rsid w:val="007E5F67"/>
    <w:rsid w:val="007E7640"/>
    <w:rsid w:val="007F0D2C"/>
    <w:rsid w:val="007F3B6C"/>
    <w:rsid w:val="007F4C6B"/>
    <w:rsid w:val="007F4CD7"/>
    <w:rsid w:val="007F5C79"/>
    <w:rsid w:val="007F7BE1"/>
    <w:rsid w:val="00801303"/>
    <w:rsid w:val="00802CF9"/>
    <w:rsid w:val="008030BB"/>
    <w:rsid w:val="00803E1E"/>
    <w:rsid w:val="0080566F"/>
    <w:rsid w:val="00810929"/>
    <w:rsid w:val="00812181"/>
    <w:rsid w:val="0081234C"/>
    <w:rsid w:val="00812CC8"/>
    <w:rsid w:val="00813A4A"/>
    <w:rsid w:val="008159B4"/>
    <w:rsid w:val="008168D8"/>
    <w:rsid w:val="00816BC8"/>
    <w:rsid w:val="00817CAA"/>
    <w:rsid w:val="00820FF7"/>
    <w:rsid w:val="00824860"/>
    <w:rsid w:val="00825ABD"/>
    <w:rsid w:val="008302B3"/>
    <w:rsid w:val="00831060"/>
    <w:rsid w:val="00834502"/>
    <w:rsid w:val="00834B81"/>
    <w:rsid w:val="00836EFF"/>
    <w:rsid w:val="00840C80"/>
    <w:rsid w:val="0084282C"/>
    <w:rsid w:val="00842EA7"/>
    <w:rsid w:val="00843B67"/>
    <w:rsid w:val="0084407B"/>
    <w:rsid w:val="00846509"/>
    <w:rsid w:val="00850A03"/>
    <w:rsid w:val="008564AF"/>
    <w:rsid w:val="00860BAB"/>
    <w:rsid w:val="00862AA7"/>
    <w:rsid w:val="00863C4F"/>
    <w:rsid w:val="00864699"/>
    <w:rsid w:val="00864D49"/>
    <w:rsid w:val="008676C4"/>
    <w:rsid w:val="00867D31"/>
    <w:rsid w:val="00876EE0"/>
    <w:rsid w:val="008803C9"/>
    <w:rsid w:val="0088113F"/>
    <w:rsid w:val="00883C5C"/>
    <w:rsid w:val="00885A96"/>
    <w:rsid w:val="00886AF1"/>
    <w:rsid w:val="00891D4C"/>
    <w:rsid w:val="00893B41"/>
    <w:rsid w:val="00894248"/>
    <w:rsid w:val="00895C16"/>
    <w:rsid w:val="00897339"/>
    <w:rsid w:val="008978C6"/>
    <w:rsid w:val="00897B36"/>
    <w:rsid w:val="008A133A"/>
    <w:rsid w:val="008A39AC"/>
    <w:rsid w:val="008A52B3"/>
    <w:rsid w:val="008A71ED"/>
    <w:rsid w:val="008B4140"/>
    <w:rsid w:val="008B46C4"/>
    <w:rsid w:val="008B4714"/>
    <w:rsid w:val="008B6733"/>
    <w:rsid w:val="008C1435"/>
    <w:rsid w:val="008C6DAF"/>
    <w:rsid w:val="008C7A00"/>
    <w:rsid w:val="008D2AFC"/>
    <w:rsid w:val="008D47C8"/>
    <w:rsid w:val="008D4F63"/>
    <w:rsid w:val="008D4F94"/>
    <w:rsid w:val="008D6264"/>
    <w:rsid w:val="008D75BA"/>
    <w:rsid w:val="008E1E48"/>
    <w:rsid w:val="008E7F5B"/>
    <w:rsid w:val="008F115C"/>
    <w:rsid w:val="008F1B0E"/>
    <w:rsid w:val="008F216B"/>
    <w:rsid w:val="008F680F"/>
    <w:rsid w:val="008F7952"/>
    <w:rsid w:val="00902629"/>
    <w:rsid w:val="009036F0"/>
    <w:rsid w:val="00903EA9"/>
    <w:rsid w:val="009065E6"/>
    <w:rsid w:val="00906E72"/>
    <w:rsid w:val="00911811"/>
    <w:rsid w:val="0091584A"/>
    <w:rsid w:val="00916349"/>
    <w:rsid w:val="0091669F"/>
    <w:rsid w:val="009231A8"/>
    <w:rsid w:val="0092397B"/>
    <w:rsid w:val="00925488"/>
    <w:rsid w:val="0092669D"/>
    <w:rsid w:val="00944A06"/>
    <w:rsid w:val="00945DB5"/>
    <w:rsid w:val="00945EF1"/>
    <w:rsid w:val="00946E5F"/>
    <w:rsid w:val="009470D0"/>
    <w:rsid w:val="00950C2C"/>
    <w:rsid w:val="00950F2F"/>
    <w:rsid w:val="009511EA"/>
    <w:rsid w:val="00956EA0"/>
    <w:rsid w:val="00962703"/>
    <w:rsid w:val="00962E7A"/>
    <w:rsid w:val="00963B43"/>
    <w:rsid w:val="0096464B"/>
    <w:rsid w:val="009649AA"/>
    <w:rsid w:val="00965F03"/>
    <w:rsid w:val="00966ED6"/>
    <w:rsid w:val="00971E35"/>
    <w:rsid w:val="00973CF3"/>
    <w:rsid w:val="009751BF"/>
    <w:rsid w:val="009753A0"/>
    <w:rsid w:val="00977577"/>
    <w:rsid w:val="009806CD"/>
    <w:rsid w:val="009808F5"/>
    <w:rsid w:val="00981E99"/>
    <w:rsid w:val="00982AE6"/>
    <w:rsid w:val="00982C7A"/>
    <w:rsid w:val="009857FC"/>
    <w:rsid w:val="00985B5C"/>
    <w:rsid w:val="00987312"/>
    <w:rsid w:val="009937C9"/>
    <w:rsid w:val="0099567C"/>
    <w:rsid w:val="009A193B"/>
    <w:rsid w:val="009A1E5D"/>
    <w:rsid w:val="009A31E6"/>
    <w:rsid w:val="009A56DD"/>
    <w:rsid w:val="009A6AD7"/>
    <w:rsid w:val="009B2AA9"/>
    <w:rsid w:val="009B7614"/>
    <w:rsid w:val="009C0A8A"/>
    <w:rsid w:val="009C28F6"/>
    <w:rsid w:val="009C37F5"/>
    <w:rsid w:val="009C58DD"/>
    <w:rsid w:val="009C627D"/>
    <w:rsid w:val="009C6535"/>
    <w:rsid w:val="009D18E7"/>
    <w:rsid w:val="009D1F27"/>
    <w:rsid w:val="009D2CF4"/>
    <w:rsid w:val="009D3D29"/>
    <w:rsid w:val="009D43A5"/>
    <w:rsid w:val="009D5AEA"/>
    <w:rsid w:val="009D687F"/>
    <w:rsid w:val="009D72A0"/>
    <w:rsid w:val="009D74CB"/>
    <w:rsid w:val="009D7D0C"/>
    <w:rsid w:val="009E02E8"/>
    <w:rsid w:val="009E0692"/>
    <w:rsid w:val="009E14B1"/>
    <w:rsid w:val="009E5716"/>
    <w:rsid w:val="009E5962"/>
    <w:rsid w:val="009E77FB"/>
    <w:rsid w:val="009F0550"/>
    <w:rsid w:val="009F174B"/>
    <w:rsid w:val="009F1C36"/>
    <w:rsid w:val="009F311B"/>
    <w:rsid w:val="009F57DB"/>
    <w:rsid w:val="009F588C"/>
    <w:rsid w:val="00A02778"/>
    <w:rsid w:val="00A02CD8"/>
    <w:rsid w:val="00A04421"/>
    <w:rsid w:val="00A07901"/>
    <w:rsid w:val="00A11C5A"/>
    <w:rsid w:val="00A14A6C"/>
    <w:rsid w:val="00A20FA7"/>
    <w:rsid w:val="00A21DFC"/>
    <w:rsid w:val="00A22204"/>
    <w:rsid w:val="00A22938"/>
    <w:rsid w:val="00A264E5"/>
    <w:rsid w:val="00A36423"/>
    <w:rsid w:val="00A36D59"/>
    <w:rsid w:val="00A37707"/>
    <w:rsid w:val="00A37C70"/>
    <w:rsid w:val="00A42377"/>
    <w:rsid w:val="00A43AE1"/>
    <w:rsid w:val="00A440E9"/>
    <w:rsid w:val="00A44673"/>
    <w:rsid w:val="00A4605A"/>
    <w:rsid w:val="00A47E42"/>
    <w:rsid w:val="00A502C5"/>
    <w:rsid w:val="00A50B3D"/>
    <w:rsid w:val="00A51ED0"/>
    <w:rsid w:val="00A526FE"/>
    <w:rsid w:val="00A5475D"/>
    <w:rsid w:val="00A566E3"/>
    <w:rsid w:val="00A5689C"/>
    <w:rsid w:val="00A56D82"/>
    <w:rsid w:val="00A6056C"/>
    <w:rsid w:val="00A609AE"/>
    <w:rsid w:val="00A61F24"/>
    <w:rsid w:val="00A62347"/>
    <w:rsid w:val="00A62B28"/>
    <w:rsid w:val="00A64B4D"/>
    <w:rsid w:val="00A65C6D"/>
    <w:rsid w:val="00A67635"/>
    <w:rsid w:val="00A7026D"/>
    <w:rsid w:val="00A764FD"/>
    <w:rsid w:val="00A76A9D"/>
    <w:rsid w:val="00A76D8B"/>
    <w:rsid w:val="00A776F5"/>
    <w:rsid w:val="00A77916"/>
    <w:rsid w:val="00A80D75"/>
    <w:rsid w:val="00A81A4A"/>
    <w:rsid w:val="00A84CA6"/>
    <w:rsid w:val="00A859C6"/>
    <w:rsid w:val="00A859D3"/>
    <w:rsid w:val="00A8644A"/>
    <w:rsid w:val="00A86EED"/>
    <w:rsid w:val="00A90DE2"/>
    <w:rsid w:val="00A91646"/>
    <w:rsid w:val="00A91CB6"/>
    <w:rsid w:val="00A9596B"/>
    <w:rsid w:val="00A97344"/>
    <w:rsid w:val="00A977DB"/>
    <w:rsid w:val="00AA350C"/>
    <w:rsid w:val="00AA357D"/>
    <w:rsid w:val="00AA6E60"/>
    <w:rsid w:val="00AA72F8"/>
    <w:rsid w:val="00AB1128"/>
    <w:rsid w:val="00AB1F0F"/>
    <w:rsid w:val="00AB724D"/>
    <w:rsid w:val="00AB7CD3"/>
    <w:rsid w:val="00AC01C5"/>
    <w:rsid w:val="00AC322A"/>
    <w:rsid w:val="00AC43AC"/>
    <w:rsid w:val="00AC4FD0"/>
    <w:rsid w:val="00AC7A3C"/>
    <w:rsid w:val="00AD09C1"/>
    <w:rsid w:val="00AD0E67"/>
    <w:rsid w:val="00AD103A"/>
    <w:rsid w:val="00AD1E3D"/>
    <w:rsid w:val="00AD2DC6"/>
    <w:rsid w:val="00AD40BA"/>
    <w:rsid w:val="00AD44D0"/>
    <w:rsid w:val="00AD4685"/>
    <w:rsid w:val="00AD6E20"/>
    <w:rsid w:val="00AD71B8"/>
    <w:rsid w:val="00AE1256"/>
    <w:rsid w:val="00AE7CE8"/>
    <w:rsid w:val="00AF1F1F"/>
    <w:rsid w:val="00AF2674"/>
    <w:rsid w:val="00AF2934"/>
    <w:rsid w:val="00AF3896"/>
    <w:rsid w:val="00AF4263"/>
    <w:rsid w:val="00AF6F15"/>
    <w:rsid w:val="00AF73E1"/>
    <w:rsid w:val="00B014E5"/>
    <w:rsid w:val="00B01535"/>
    <w:rsid w:val="00B0157C"/>
    <w:rsid w:val="00B02E47"/>
    <w:rsid w:val="00B03935"/>
    <w:rsid w:val="00B041F9"/>
    <w:rsid w:val="00B0531C"/>
    <w:rsid w:val="00B0563C"/>
    <w:rsid w:val="00B06CE1"/>
    <w:rsid w:val="00B1271D"/>
    <w:rsid w:val="00B1486E"/>
    <w:rsid w:val="00B14CDF"/>
    <w:rsid w:val="00B15D09"/>
    <w:rsid w:val="00B20BBF"/>
    <w:rsid w:val="00B24214"/>
    <w:rsid w:val="00B24E20"/>
    <w:rsid w:val="00B2645C"/>
    <w:rsid w:val="00B31FFA"/>
    <w:rsid w:val="00B3492C"/>
    <w:rsid w:val="00B3637E"/>
    <w:rsid w:val="00B37403"/>
    <w:rsid w:val="00B37DCC"/>
    <w:rsid w:val="00B40074"/>
    <w:rsid w:val="00B40EA3"/>
    <w:rsid w:val="00B42215"/>
    <w:rsid w:val="00B43D90"/>
    <w:rsid w:val="00B44A7C"/>
    <w:rsid w:val="00B44D22"/>
    <w:rsid w:val="00B45D69"/>
    <w:rsid w:val="00B52320"/>
    <w:rsid w:val="00B5244A"/>
    <w:rsid w:val="00B52B20"/>
    <w:rsid w:val="00B547B1"/>
    <w:rsid w:val="00B56A4A"/>
    <w:rsid w:val="00B57AC5"/>
    <w:rsid w:val="00B60362"/>
    <w:rsid w:val="00B63A42"/>
    <w:rsid w:val="00B743D5"/>
    <w:rsid w:val="00B75AD9"/>
    <w:rsid w:val="00B75C76"/>
    <w:rsid w:val="00B76077"/>
    <w:rsid w:val="00B76D26"/>
    <w:rsid w:val="00B76FB2"/>
    <w:rsid w:val="00B77873"/>
    <w:rsid w:val="00B778F6"/>
    <w:rsid w:val="00B81147"/>
    <w:rsid w:val="00B8241C"/>
    <w:rsid w:val="00B82C2C"/>
    <w:rsid w:val="00B83997"/>
    <w:rsid w:val="00B84321"/>
    <w:rsid w:val="00B85E04"/>
    <w:rsid w:val="00B8754B"/>
    <w:rsid w:val="00B91AD2"/>
    <w:rsid w:val="00B92A78"/>
    <w:rsid w:val="00B93F96"/>
    <w:rsid w:val="00B9744F"/>
    <w:rsid w:val="00BA1EC2"/>
    <w:rsid w:val="00BA30D5"/>
    <w:rsid w:val="00BA6A4E"/>
    <w:rsid w:val="00BB00BB"/>
    <w:rsid w:val="00BB386D"/>
    <w:rsid w:val="00BB4300"/>
    <w:rsid w:val="00BB66E6"/>
    <w:rsid w:val="00BB6F85"/>
    <w:rsid w:val="00BB7763"/>
    <w:rsid w:val="00BB7968"/>
    <w:rsid w:val="00BC0DCC"/>
    <w:rsid w:val="00BC1CBB"/>
    <w:rsid w:val="00BC291B"/>
    <w:rsid w:val="00BC4653"/>
    <w:rsid w:val="00BC5D04"/>
    <w:rsid w:val="00BC7738"/>
    <w:rsid w:val="00BD05E7"/>
    <w:rsid w:val="00BD15E6"/>
    <w:rsid w:val="00BD2AE5"/>
    <w:rsid w:val="00BD5F0D"/>
    <w:rsid w:val="00BD7272"/>
    <w:rsid w:val="00BD7DB7"/>
    <w:rsid w:val="00BE076F"/>
    <w:rsid w:val="00BE0804"/>
    <w:rsid w:val="00BE25A0"/>
    <w:rsid w:val="00BE3821"/>
    <w:rsid w:val="00BE732C"/>
    <w:rsid w:val="00BE7551"/>
    <w:rsid w:val="00BF3850"/>
    <w:rsid w:val="00BF3ACD"/>
    <w:rsid w:val="00BF42DF"/>
    <w:rsid w:val="00BF4710"/>
    <w:rsid w:val="00BF55B4"/>
    <w:rsid w:val="00BF5CCC"/>
    <w:rsid w:val="00BF65B9"/>
    <w:rsid w:val="00BF6A80"/>
    <w:rsid w:val="00BF703B"/>
    <w:rsid w:val="00BF7C7A"/>
    <w:rsid w:val="00C0020A"/>
    <w:rsid w:val="00C06741"/>
    <w:rsid w:val="00C13B19"/>
    <w:rsid w:val="00C13FBE"/>
    <w:rsid w:val="00C1457F"/>
    <w:rsid w:val="00C15184"/>
    <w:rsid w:val="00C16EE1"/>
    <w:rsid w:val="00C16F73"/>
    <w:rsid w:val="00C1732C"/>
    <w:rsid w:val="00C2045D"/>
    <w:rsid w:val="00C20725"/>
    <w:rsid w:val="00C231B0"/>
    <w:rsid w:val="00C25847"/>
    <w:rsid w:val="00C25F96"/>
    <w:rsid w:val="00C30670"/>
    <w:rsid w:val="00C30751"/>
    <w:rsid w:val="00C31233"/>
    <w:rsid w:val="00C33653"/>
    <w:rsid w:val="00C337DD"/>
    <w:rsid w:val="00C34A4D"/>
    <w:rsid w:val="00C35907"/>
    <w:rsid w:val="00C361F6"/>
    <w:rsid w:val="00C3652F"/>
    <w:rsid w:val="00C36823"/>
    <w:rsid w:val="00C40114"/>
    <w:rsid w:val="00C40EF8"/>
    <w:rsid w:val="00C414C4"/>
    <w:rsid w:val="00C42293"/>
    <w:rsid w:val="00C42DDE"/>
    <w:rsid w:val="00C43EEF"/>
    <w:rsid w:val="00C444BD"/>
    <w:rsid w:val="00C46694"/>
    <w:rsid w:val="00C476FC"/>
    <w:rsid w:val="00C5015C"/>
    <w:rsid w:val="00C51E25"/>
    <w:rsid w:val="00C552B5"/>
    <w:rsid w:val="00C6096D"/>
    <w:rsid w:val="00C614EC"/>
    <w:rsid w:val="00C617B1"/>
    <w:rsid w:val="00C6195C"/>
    <w:rsid w:val="00C61DB4"/>
    <w:rsid w:val="00C64570"/>
    <w:rsid w:val="00C705EB"/>
    <w:rsid w:val="00C7303B"/>
    <w:rsid w:val="00C804AA"/>
    <w:rsid w:val="00C844EF"/>
    <w:rsid w:val="00C84DE2"/>
    <w:rsid w:val="00C9077F"/>
    <w:rsid w:val="00C91920"/>
    <w:rsid w:val="00C919F0"/>
    <w:rsid w:val="00C92293"/>
    <w:rsid w:val="00C92F10"/>
    <w:rsid w:val="00C934E8"/>
    <w:rsid w:val="00C94180"/>
    <w:rsid w:val="00C9465C"/>
    <w:rsid w:val="00C9492B"/>
    <w:rsid w:val="00C95819"/>
    <w:rsid w:val="00CA2163"/>
    <w:rsid w:val="00CA2645"/>
    <w:rsid w:val="00CA46BE"/>
    <w:rsid w:val="00CB4658"/>
    <w:rsid w:val="00CC046F"/>
    <w:rsid w:val="00CC0DCC"/>
    <w:rsid w:val="00CC13A1"/>
    <w:rsid w:val="00CC4BF5"/>
    <w:rsid w:val="00CC6F2A"/>
    <w:rsid w:val="00CD10D8"/>
    <w:rsid w:val="00CD1D0C"/>
    <w:rsid w:val="00CD273D"/>
    <w:rsid w:val="00CD3EA1"/>
    <w:rsid w:val="00CD64CF"/>
    <w:rsid w:val="00CD76A3"/>
    <w:rsid w:val="00CE0EF8"/>
    <w:rsid w:val="00CE0F42"/>
    <w:rsid w:val="00CE2ABD"/>
    <w:rsid w:val="00CE59D5"/>
    <w:rsid w:val="00CE5BEA"/>
    <w:rsid w:val="00CE5E08"/>
    <w:rsid w:val="00CE7596"/>
    <w:rsid w:val="00CF5D6E"/>
    <w:rsid w:val="00CF737C"/>
    <w:rsid w:val="00CF7F89"/>
    <w:rsid w:val="00D014CE"/>
    <w:rsid w:val="00D01B9D"/>
    <w:rsid w:val="00D02060"/>
    <w:rsid w:val="00D03007"/>
    <w:rsid w:val="00D03756"/>
    <w:rsid w:val="00D03A12"/>
    <w:rsid w:val="00D06F92"/>
    <w:rsid w:val="00D10811"/>
    <w:rsid w:val="00D111DF"/>
    <w:rsid w:val="00D12950"/>
    <w:rsid w:val="00D145C2"/>
    <w:rsid w:val="00D16372"/>
    <w:rsid w:val="00D17B7F"/>
    <w:rsid w:val="00D223DA"/>
    <w:rsid w:val="00D235AC"/>
    <w:rsid w:val="00D24515"/>
    <w:rsid w:val="00D31B30"/>
    <w:rsid w:val="00D32F12"/>
    <w:rsid w:val="00D33206"/>
    <w:rsid w:val="00D37690"/>
    <w:rsid w:val="00D433B1"/>
    <w:rsid w:val="00D442B0"/>
    <w:rsid w:val="00D45481"/>
    <w:rsid w:val="00D50EEC"/>
    <w:rsid w:val="00D51413"/>
    <w:rsid w:val="00D528BB"/>
    <w:rsid w:val="00D52A41"/>
    <w:rsid w:val="00D53BB4"/>
    <w:rsid w:val="00D5602D"/>
    <w:rsid w:val="00D56F5E"/>
    <w:rsid w:val="00D56F94"/>
    <w:rsid w:val="00D6014C"/>
    <w:rsid w:val="00D60530"/>
    <w:rsid w:val="00D61731"/>
    <w:rsid w:val="00D62F50"/>
    <w:rsid w:val="00D63864"/>
    <w:rsid w:val="00D64C36"/>
    <w:rsid w:val="00D6767A"/>
    <w:rsid w:val="00D67C88"/>
    <w:rsid w:val="00D71D08"/>
    <w:rsid w:val="00D71E70"/>
    <w:rsid w:val="00D72890"/>
    <w:rsid w:val="00D72D0A"/>
    <w:rsid w:val="00D7608E"/>
    <w:rsid w:val="00D760B4"/>
    <w:rsid w:val="00D77D20"/>
    <w:rsid w:val="00D803D6"/>
    <w:rsid w:val="00D81E31"/>
    <w:rsid w:val="00D828FB"/>
    <w:rsid w:val="00D83C5D"/>
    <w:rsid w:val="00D842DD"/>
    <w:rsid w:val="00D845CD"/>
    <w:rsid w:val="00D9109C"/>
    <w:rsid w:val="00D91FB2"/>
    <w:rsid w:val="00D9242B"/>
    <w:rsid w:val="00D93003"/>
    <w:rsid w:val="00D93603"/>
    <w:rsid w:val="00D9406A"/>
    <w:rsid w:val="00D96257"/>
    <w:rsid w:val="00D97035"/>
    <w:rsid w:val="00D972CD"/>
    <w:rsid w:val="00D9766F"/>
    <w:rsid w:val="00D97A82"/>
    <w:rsid w:val="00DA0C24"/>
    <w:rsid w:val="00DA3D2B"/>
    <w:rsid w:val="00DA6CDC"/>
    <w:rsid w:val="00DB5713"/>
    <w:rsid w:val="00DB6601"/>
    <w:rsid w:val="00DB66A3"/>
    <w:rsid w:val="00DB6FBE"/>
    <w:rsid w:val="00DB78C3"/>
    <w:rsid w:val="00DC28E8"/>
    <w:rsid w:val="00DC433C"/>
    <w:rsid w:val="00DC674A"/>
    <w:rsid w:val="00DC70EC"/>
    <w:rsid w:val="00DD4156"/>
    <w:rsid w:val="00DD5163"/>
    <w:rsid w:val="00DD57F8"/>
    <w:rsid w:val="00DD5E8E"/>
    <w:rsid w:val="00DD6196"/>
    <w:rsid w:val="00DE02DF"/>
    <w:rsid w:val="00DE1389"/>
    <w:rsid w:val="00DF0024"/>
    <w:rsid w:val="00DF0FDE"/>
    <w:rsid w:val="00DF2545"/>
    <w:rsid w:val="00DF2859"/>
    <w:rsid w:val="00DF29EF"/>
    <w:rsid w:val="00DF2A79"/>
    <w:rsid w:val="00DF7C58"/>
    <w:rsid w:val="00E01C0E"/>
    <w:rsid w:val="00E03165"/>
    <w:rsid w:val="00E06161"/>
    <w:rsid w:val="00E10A5D"/>
    <w:rsid w:val="00E11215"/>
    <w:rsid w:val="00E11CBC"/>
    <w:rsid w:val="00E134F2"/>
    <w:rsid w:val="00E1447A"/>
    <w:rsid w:val="00E14B3B"/>
    <w:rsid w:val="00E174EF"/>
    <w:rsid w:val="00E20F36"/>
    <w:rsid w:val="00E235CC"/>
    <w:rsid w:val="00E246B5"/>
    <w:rsid w:val="00E25DC6"/>
    <w:rsid w:val="00E270E7"/>
    <w:rsid w:val="00E33879"/>
    <w:rsid w:val="00E351E2"/>
    <w:rsid w:val="00E42762"/>
    <w:rsid w:val="00E44783"/>
    <w:rsid w:val="00E4670D"/>
    <w:rsid w:val="00E467A5"/>
    <w:rsid w:val="00E46C69"/>
    <w:rsid w:val="00E47480"/>
    <w:rsid w:val="00E47DEC"/>
    <w:rsid w:val="00E50A06"/>
    <w:rsid w:val="00E52D4F"/>
    <w:rsid w:val="00E55F54"/>
    <w:rsid w:val="00E56FDF"/>
    <w:rsid w:val="00E60077"/>
    <w:rsid w:val="00E6093C"/>
    <w:rsid w:val="00E61EC9"/>
    <w:rsid w:val="00E63366"/>
    <w:rsid w:val="00E65DCC"/>
    <w:rsid w:val="00E66C77"/>
    <w:rsid w:val="00E66DAF"/>
    <w:rsid w:val="00E67F89"/>
    <w:rsid w:val="00E67F8C"/>
    <w:rsid w:val="00E737DA"/>
    <w:rsid w:val="00E73A18"/>
    <w:rsid w:val="00E73F7E"/>
    <w:rsid w:val="00E754DE"/>
    <w:rsid w:val="00E756B4"/>
    <w:rsid w:val="00E756FC"/>
    <w:rsid w:val="00E7709A"/>
    <w:rsid w:val="00E771E5"/>
    <w:rsid w:val="00E77376"/>
    <w:rsid w:val="00E77D5D"/>
    <w:rsid w:val="00E8140B"/>
    <w:rsid w:val="00E81B23"/>
    <w:rsid w:val="00E86560"/>
    <w:rsid w:val="00E86997"/>
    <w:rsid w:val="00E90A26"/>
    <w:rsid w:val="00E93805"/>
    <w:rsid w:val="00E93C2A"/>
    <w:rsid w:val="00E94443"/>
    <w:rsid w:val="00E973CF"/>
    <w:rsid w:val="00EA0AC0"/>
    <w:rsid w:val="00EA224D"/>
    <w:rsid w:val="00EA3927"/>
    <w:rsid w:val="00EA664B"/>
    <w:rsid w:val="00EA66EA"/>
    <w:rsid w:val="00EA75B2"/>
    <w:rsid w:val="00EA7639"/>
    <w:rsid w:val="00EB20F6"/>
    <w:rsid w:val="00EB3FA8"/>
    <w:rsid w:val="00EB4D47"/>
    <w:rsid w:val="00EC2106"/>
    <w:rsid w:val="00EC29F0"/>
    <w:rsid w:val="00EC2B10"/>
    <w:rsid w:val="00EC351B"/>
    <w:rsid w:val="00EC4626"/>
    <w:rsid w:val="00EC56F8"/>
    <w:rsid w:val="00EC6213"/>
    <w:rsid w:val="00EC7149"/>
    <w:rsid w:val="00EC7960"/>
    <w:rsid w:val="00ED2224"/>
    <w:rsid w:val="00ED24FD"/>
    <w:rsid w:val="00ED3889"/>
    <w:rsid w:val="00ED5E97"/>
    <w:rsid w:val="00EE00E3"/>
    <w:rsid w:val="00EE0A9D"/>
    <w:rsid w:val="00EE0B20"/>
    <w:rsid w:val="00EE2B80"/>
    <w:rsid w:val="00EE4ED3"/>
    <w:rsid w:val="00EE59F2"/>
    <w:rsid w:val="00EE6D21"/>
    <w:rsid w:val="00EE6D95"/>
    <w:rsid w:val="00EF02FC"/>
    <w:rsid w:val="00EF03E3"/>
    <w:rsid w:val="00EF05C8"/>
    <w:rsid w:val="00EF1026"/>
    <w:rsid w:val="00EF2FAB"/>
    <w:rsid w:val="00EF3A4C"/>
    <w:rsid w:val="00EF4160"/>
    <w:rsid w:val="00EF512F"/>
    <w:rsid w:val="00EF52DC"/>
    <w:rsid w:val="00EF53DB"/>
    <w:rsid w:val="00EF6890"/>
    <w:rsid w:val="00F013CE"/>
    <w:rsid w:val="00F01580"/>
    <w:rsid w:val="00F01A5B"/>
    <w:rsid w:val="00F03151"/>
    <w:rsid w:val="00F031CC"/>
    <w:rsid w:val="00F0440A"/>
    <w:rsid w:val="00F048B8"/>
    <w:rsid w:val="00F0499B"/>
    <w:rsid w:val="00F05561"/>
    <w:rsid w:val="00F07FFE"/>
    <w:rsid w:val="00F166CE"/>
    <w:rsid w:val="00F230AC"/>
    <w:rsid w:val="00F23452"/>
    <w:rsid w:val="00F24E36"/>
    <w:rsid w:val="00F25455"/>
    <w:rsid w:val="00F26959"/>
    <w:rsid w:val="00F30911"/>
    <w:rsid w:val="00F34629"/>
    <w:rsid w:val="00F34945"/>
    <w:rsid w:val="00F34F26"/>
    <w:rsid w:val="00F3586A"/>
    <w:rsid w:val="00F40A44"/>
    <w:rsid w:val="00F40D2E"/>
    <w:rsid w:val="00F40D99"/>
    <w:rsid w:val="00F41386"/>
    <w:rsid w:val="00F424A0"/>
    <w:rsid w:val="00F4670D"/>
    <w:rsid w:val="00F477F6"/>
    <w:rsid w:val="00F51D64"/>
    <w:rsid w:val="00F51DC3"/>
    <w:rsid w:val="00F52640"/>
    <w:rsid w:val="00F5298B"/>
    <w:rsid w:val="00F52A48"/>
    <w:rsid w:val="00F53A36"/>
    <w:rsid w:val="00F54559"/>
    <w:rsid w:val="00F558D3"/>
    <w:rsid w:val="00F60A28"/>
    <w:rsid w:val="00F60C56"/>
    <w:rsid w:val="00F62293"/>
    <w:rsid w:val="00F658D3"/>
    <w:rsid w:val="00F710E7"/>
    <w:rsid w:val="00F73F0E"/>
    <w:rsid w:val="00F7760A"/>
    <w:rsid w:val="00F825A9"/>
    <w:rsid w:val="00F857AD"/>
    <w:rsid w:val="00F85B82"/>
    <w:rsid w:val="00F86317"/>
    <w:rsid w:val="00F90009"/>
    <w:rsid w:val="00F92C04"/>
    <w:rsid w:val="00F9798E"/>
    <w:rsid w:val="00FA3DC6"/>
    <w:rsid w:val="00FA40F0"/>
    <w:rsid w:val="00FA5825"/>
    <w:rsid w:val="00FA6371"/>
    <w:rsid w:val="00FB0BA5"/>
    <w:rsid w:val="00FB0DAC"/>
    <w:rsid w:val="00FB45E4"/>
    <w:rsid w:val="00FB6A31"/>
    <w:rsid w:val="00FC2A14"/>
    <w:rsid w:val="00FC78FE"/>
    <w:rsid w:val="00FD0928"/>
    <w:rsid w:val="00FD3A9F"/>
    <w:rsid w:val="00FD4FE6"/>
    <w:rsid w:val="00FD6138"/>
    <w:rsid w:val="00FD62D1"/>
    <w:rsid w:val="00FD75DF"/>
    <w:rsid w:val="00FE190F"/>
    <w:rsid w:val="00FE3766"/>
    <w:rsid w:val="00FE38F0"/>
    <w:rsid w:val="00FE62B1"/>
    <w:rsid w:val="00FE6B89"/>
    <w:rsid w:val="00FE76E6"/>
    <w:rsid w:val="00FF1C75"/>
    <w:rsid w:val="00FF2A8A"/>
    <w:rsid w:val="00FF407E"/>
    <w:rsid w:val="0106105F"/>
    <w:rsid w:val="011B1ACE"/>
    <w:rsid w:val="01235168"/>
    <w:rsid w:val="01522E63"/>
    <w:rsid w:val="01532735"/>
    <w:rsid w:val="015C501D"/>
    <w:rsid w:val="016145A6"/>
    <w:rsid w:val="0191307D"/>
    <w:rsid w:val="01951873"/>
    <w:rsid w:val="01955572"/>
    <w:rsid w:val="01B331BD"/>
    <w:rsid w:val="01DA3F36"/>
    <w:rsid w:val="01F560F7"/>
    <w:rsid w:val="01FF3C48"/>
    <w:rsid w:val="02123EE6"/>
    <w:rsid w:val="023D1D01"/>
    <w:rsid w:val="025E6CC3"/>
    <w:rsid w:val="02686E46"/>
    <w:rsid w:val="02764E9C"/>
    <w:rsid w:val="028315C7"/>
    <w:rsid w:val="0283780A"/>
    <w:rsid w:val="02BE680B"/>
    <w:rsid w:val="02CB7DE2"/>
    <w:rsid w:val="02D71B39"/>
    <w:rsid w:val="02EE7E1C"/>
    <w:rsid w:val="032251AE"/>
    <w:rsid w:val="03702232"/>
    <w:rsid w:val="03864B56"/>
    <w:rsid w:val="03941499"/>
    <w:rsid w:val="03A23078"/>
    <w:rsid w:val="03ED03CF"/>
    <w:rsid w:val="0410181F"/>
    <w:rsid w:val="04154C02"/>
    <w:rsid w:val="041659D3"/>
    <w:rsid w:val="04573CC5"/>
    <w:rsid w:val="04A94114"/>
    <w:rsid w:val="04B359BE"/>
    <w:rsid w:val="04BC335D"/>
    <w:rsid w:val="04C40B56"/>
    <w:rsid w:val="04E07014"/>
    <w:rsid w:val="050B041D"/>
    <w:rsid w:val="051931EE"/>
    <w:rsid w:val="052102F4"/>
    <w:rsid w:val="054C2C19"/>
    <w:rsid w:val="0562467F"/>
    <w:rsid w:val="057E5A8F"/>
    <w:rsid w:val="0580326D"/>
    <w:rsid w:val="05C75681"/>
    <w:rsid w:val="05E01F5E"/>
    <w:rsid w:val="05EA5FAC"/>
    <w:rsid w:val="05F61781"/>
    <w:rsid w:val="05F84D5C"/>
    <w:rsid w:val="060F7B24"/>
    <w:rsid w:val="061C5DE2"/>
    <w:rsid w:val="06255D46"/>
    <w:rsid w:val="064E4CAE"/>
    <w:rsid w:val="06FD2E90"/>
    <w:rsid w:val="070075BA"/>
    <w:rsid w:val="07266330"/>
    <w:rsid w:val="07476073"/>
    <w:rsid w:val="0775167C"/>
    <w:rsid w:val="07761A41"/>
    <w:rsid w:val="079254DA"/>
    <w:rsid w:val="079A1770"/>
    <w:rsid w:val="07A952A5"/>
    <w:rsid w:val="07B138E1"/>
    <w:rsid w:val="07B25846"/>
    <w:rsid w:val="07F8193F"/>
    <w:rsid w:val="08241693"/>
    <w:rsid w:val="08327671"/>
    <w:rsid w:val="086308DD"/>
    <w:rsid w:val="08A1787D"/>
    <w:rsid w:val="08B03961"/>
    <w:rsid w:val="08E265F4"/>
    <w:rsid w:val="09214D8B"/>
    <w:rsid w:val="095F2852"/>
    <w:rsid w:val="096E7880"/>
    <w:rsid w:val="09867712"/>
    <w:rsid w:val="09E6389A"/>
    <w:rsid w:val="09ED69F7"/>
    <w:rsid w:val="0A0E6169"/>
    <w:rsid w:val="0A352FB4"/>
    <w:rsid w:val="0A824C7D"/>
    <w:rsid w:val="0A8916C1"/>
    <w:rsid w:val="0A897609"/>
    <w:rsid w:val="0AB57C93"/>
    <w:rsid w:val="0ABE17E8"/>
    <w:rsid w:val="0ADF4592"/>
    <w:rsid w:val="0B3D39AE"/>
    <w:rsid w:val="0B996E37"/>
    <w:rsid w:val="0BBC4281"/>
    <w:rsid w:val="0BDB7E1B"/>
    <w:rsid w:val="0BF20C49"/>
    <w:rsid w:val="0C0A690F"/>
    <w:rsid w:val="0C2D102E"/>
    <w:rsid w:val="0C3F4C47"/>
    <w:rsid w:val="0C45726E"/>
    <w:rsid w:val="0C523F2F"/>
    <w:rsid w:val="0C670EAD"/>
    <w:rsid w:val="0C7340BE"/>
    <w:rsid w:val="0C810438"/>
    <w:rsid w:val="0C990DDE"/>
    <w:rsid w:val="0D175DF4"/>
    <w:rsid w:val="0D266ACE"/>
    <w:rsid w:val="0D27515D"/>
    <w:rsid w:val="0D4369E1"/>
    <w:rsid w:val="0DA22010"/>
    <w:rsid w:val="0DA46036"/>
    <w:rsid w:val="0DC57F56"/>
    <w:rsid w:val="0E4D215A"/>
    <w:rsid w:val="0E727DEE"/>
    <w:rsid w:val="0E7C659C"/>
    <w:rsid w:val="0E924011"/>
    <w:rsid w:val="0EA93D3B"/>
    <w:rsid w:val="0F663FD1"/>
    <w:rsid w:val="0FDA17CC"/>
    <w:rsid w:val="10AC7765"/>
    <w:rsid w:val="10B12129"/>
    <w:rsid w:val="10C17882"/>
    <w:rsid w:val="10C54976"/>
    <w:rsid w:val="10CA7A92"/>
    <w:rsid w:val="10D17073"/>
    <w:rsid w:val="10E25122"/>
    <w:rsid w:val="10EB641E"/>
    <w:rsid w:val="10ED41D6"/>
    <w:rsid w:val="10F56684"/>
    <w:rsid w:val="11032FA4"/>
    <w:rsid w:val="111D6660"/>
    <w:rsid w:val="1120522A"/>
    <w:rsid w:val="11553800"/>
    <w:rsid w:val="11616EE5"/>
    <w:rsid w:val="11716160"/>
    <w:rsid w:val="11780488"/>
    <w:rsid w:val="117B75FC"/>
    <w:rsid w:val="11821BFE"/>
    <w:rsid w:val="1188412F"/>
    <w:rsid w:val="1197024C"/>
    <w:rsid w:val="11EE192A"/>
    <w:rsid w:val="11F95E2A"/>
    <w:rsid w:val="11F96B22"/>
    <w:rsid w:val="12010A4E"/>
    <w:rsid w:val="1241178A"/>
    <w:rsid w:val="12516588"/>
    <w:rsid w:val="12856D31"/>
    <w:rsid w:val="12A14987"/>
    <w:rsid w:val="12D11499"/>
    <w:rsid w:val="12E517DC"/>
    <w:rsid w:val="13404189"/>
    <w:rsid w:val="135D4BEE"/>
    <w:rsid w:val="13663671"/>
    <w:rsid w:val="137F5199"/>
    <w:rsid w:val="13831EAD"/>
    <w:rsid w:val="13893C35"/>
    <w:rsid w:val="13A237E3"/>
    <w:rsid w:val="13A55415"/>
    <w:rsid w:val="13BF31B2"/>
    <w:rsid w:val="13FB08AE"/>
    <w:rsid w:val="140356D0"/>
    <w:rsid w:val="14136467"/>
    <w:rsid w:val="14803F70"/>
    <w:rsid w:val="14874124"/>
    <w:rsid w:val="149250ED"/>
    <w:rsid w:val="14982AAE"/>
    <w:rsid w:val="14A46576"/>
    <w:rsid w:val="14B70431"/>
    <w:rsid w:val="150A3E08"/>
    <w:rsid w:val="152D0CEB"/>
    <w:rsid w:val="152F40EB"/>
    <w:rsid w:val="152F5B5D"/>
    <w:rsid w:val="154D344E"/>
    <w:rsid w:val="15A24750"/>
    <w:rsid w:val="15D24174"/>
    <w:rsid w:val="15DE680C"/>
    <w:rsid w:val="16083AC9"/>
    <w:rsid w:val="166A65F0"/>
    <w:rsid w:val="167E6451"/>
    <w:rsid w:val="168710B9"/>
    <w:rsid w:val="16872A35"/>
    <w:rsid w:val="16AD4D5E"/>
    <w:rsid w:val="16B547F1"/>
    <w:rsid w:val="16C34A5D"/>
    <w:rsid w:val="16E647A5"/>
    <w:rsid w:val="16E949A3"/>
    <w:rsid w:val="16F931E8"/>
    <w:rsid w:val="170B4AC6"/>
    <w:rsid w:val="173D071A"/>
    <w:rsid w:val="17614581"/>
    <w:rsid w:val="176522C3"/>
    <w:rsid w:val="177A716E"/>
    <w:rsid w:val="17B32959"/>
    <w:rsid w:val="17B56240"/>
    <w:rsid w:val="17E07515"/>
    <w:rsid w:val="18162A6F"/>
    <w:rsid w:val="182C501E"/>
    <w:rsid w:val="18412D08"/>
    <w:rsid w:val="188B27B9"/>
    <w:rsid w:val="189F57BA"/>
    <w:rsid w:val="18AC75F5"/>
    <w:rsid w:val="18C01FE9"/>
    <w:rsid w:val="18C143CC"/>
    <w:rsid w:val="18D6334A"/>
    <w:rsid w:val="19105E34"/>
    <w:rsid w:val="194822DD"/>
    <w:rsid w:val="194A0955"/>
    <w:rsid w:val="194A1770"/>
    <w:rsid w:val="194A23CE"/>
    <w:rsid w:val="194B54E8"/>
    <w:rsid w:val="19515D05"/>
    <w:rsid w:val="19C9578A"/>
    <w:rsid w:val="19E60DC8"/>
    <w:rsid w:val="19F41C47"/>
    <w:rsid w:val="1A3864B3"/>
    <w:rsid w:val="1A3E32F6"/>
    <w:rsid w:val="1A7F3AEC"/>
    <w:rsid w:val="1AA2382E"/>
    <w:rsid w:val="1AD177C9"/>
    <w:rsid w:val="1ADB4C19"/>
    <w:rsid w:val="1B171C87"/>
    <w:rsid w:val="1B76621B"/>
    <w:rsid w:val="1BC4104A"/>
    <w:rsid w:val="1BD33942"/>
    <w:rsid w:val="1BD63C38"/>
    <w:rsid w:val="1BF730CC"/>
    <w:rsid w:val="1C4067A3"/>
    <w:rsid w:val="1C5A2048"/>
    <w:rsid w:val="1CA32747"/>
    <w:rsid w:val="1CE479FC"/>
    <w:rsid w:val="1D07002F"/>
    <w:rsid w:val="1D34391E"/>
    <w:rsid w:val="1DCE05B6"/>
    <w:rsid w:val="1DD11B67"/>
    <w:rsid w:val="1DF85479"/>
    <w:rsid w:val="1E005185"/>
    <w:rsid w:val="1EE24B45"/>
    <w:rsid w:val="1F0258F9"/>
    <w:rsid w:val="1F1A6C98"/>
    <w:rsid w:val="1F5E33BD"/>
    <w:rsid w:val="1F7074E8"/>
    <w:rsid w:val="1FA214C6"/>
    <w:rsid w:val="1FAC7CB2"/>
    <w:rsid w:val="20391A58"/>
    <w:rsid w:val="20482787"/>
    <w:rsid w:val="205C14B3"/>
    <w:rsid w:val="20681518"/>
    <w:rsid w:val="20982F43"/>
    <w:rsid w:val="20A547C0"/>
    <w:rsid w:val="20EF0543"/>
    <w:rsid w:val="210975E7"/>
    <w:rsid w:val="2120725A"/>
    <w:rsid w:val="21293D11"/>
    <w:rsid w:val="214019F8"/>
    <w:rsid w:val="215533A8"/>
    <w:rsid w:val="2177795F"/>
    <w:rsid w:val="21843238"/>
    <w:rsid w:val="21891AB9"/>
    <w:rsid w:val="21BC51D5"/>
    <w:rsid w:val="21C3675A"/>
    <w:rsid w:val="21EC0DB5"/>
    <w:rsid w:val="226E2DA3"/>
    <w:rsid w:val="228E5F20"/>
    <w:rsid w:val="229B6BB2"/>
    <w:rsid w:val="22E3072C"/>
    <w:rsid w:val="22E67E62"/>
    <w:rsid w:val="2300643B"/>
    <w:rsid w:val="23025737"/>
    <w:rsid w:val="2342677E"/>
    <w:rsid w:val="23510263"/>
    <w:rsid w:val="23566F03"/>
    <w:rsid w:val="2357233B"/>
    <w:rsid w:val="235D5D00"/>
    <w:rsid w:val="2369749C"/>
    <w:rsid w:val="238601BF"/>
    <w:rsid w:val="23987FDC"/>
    <w:rsid w:val="23BF71FF"/>
    <w:rsid w:val="23C172F7"/>
    <w:rsid w:val="23F44EB5"/>
    <w:rsid w:val="24651C80"/>
    <w:rsid w:val="24683ABA"/>
    <w:rsid w:val="24B9310F"/>
    <w:rsid w:val="24C74528"/>
    <w:rsid w:val="24CB7904"/>
    <w:rsid w:val="24D90985"/>
    <w:rsid w:val="24E449CE"/>
    <w:rsid w:val="250621FC"/>
    <w:rsid w:val="25256B46"/>
    <w:rsid w:val="25517B47"/>
    <w:rsid w:val="25B609F4"/>
    <w:rsid w:val="25C85FCE"/>
    <w:rsid w:val="25E14666"/>
    <w:rsid w:val="2617564D"/>
    <w:rsid w:val="264100CC"/>
    <w:rsid w:val="26885AEE"/>
    <w:rsid w:val="26915CAC"/>
    <w:rsid w:val="26C67769"/>
    <w:rsid w:val="26D94133"/>
    <w:rsid w:val="26DE1712"/>
    <w:rsid w:val="270E6A36"/>
    <w:rsid w:val="272E0BFE"/>
    <w:rsid w:val="276E5851"/>
    <w:rsid w:val="27980573"/>
    <w:rsid w:val="27F53EA7"/>
    <w:rsid w:val="280E4251"/>
    <w:rsid w:val="281D4BBB"/>
    <w:rsid w:val="2826458B"/>
    <w:rsid w:val="288812F6"/>
    <w:rsid w:val="288F1868"/>
    <w:rsid w:val="28B00816"/>
    <w:rsid w:val="28F214DC"/>
    <w:rsid w:val="293C1776"/>
    <w:rsid w:val="297716B0"/>
    <w:rsid w:val="299F3E73"/>
    <w:rsid w:val="29AE4548"/>
    <w:rsid w:val="2A1D0A22"/>
    <w:rsid w:val="2A4368C5"/>
    <w:rsid w:val="2ABC414E"/>
    <w:rsid w:val="2ACE41DB"/>
    <w:rsid w:val="2B162C13"/>
    <w:rsid w:val="2B307DD4"/>
    <w:rsid w:val="2B4A75CB"/>
    <w:rsid w:val="2B7621B6"/>
    <w:rsid w:val="2B922172"/>
    <w:rsid w:val="2BE463C4"/>
    <w:rsid w:val="2BE6342C"/>
    <w:rsid w:val="2C87190A"/>
    <w:rsid w:val="2C9A6113"/>
    <w:rsid w:val="2C9F5E1F"/>
    <w:rsid w:val="2CA64AB8"/>
    <w:rsid w:val="2CFC141B"/>
    <w:rsid w:val="2D3308D8"/>
    <w:rsid w:val="2DAD16A2"/>
    <w:rsid w:val="2E0C4716"/>
    <w:rsid w:val="2E400CA4"/>
    <w:rsid w:val="2E881D91"/>
    <w:rsid w:val="2E933762"/>
    <w:rsid w:val="2EA430AF"/>
    <w:rsid w:val="2EA45291"/>
    <w:rsid w:val="2ECC6621"/>
    <w:rsid w:val="2F0957D2"/>
    <w:rsid w:val="2F5469B2"/>
    <w:rsid w:val="2F561FC1"/>
    <w:rsid w:val="2F606671"/>
    <w:rsid w:val="2F775834"/>
    <w:rsid w:val="2F940DAF"/>
    <w:rsid w:val="2F9E6116"/>
    <w:rsid w:val="2FC844DD"/>
    <w:rsid w:val="2FE71661"/>
    <w:rsid w:val="2FFB0CB2"/>
    <w:rsid w:val="30136908"/>
    <w:rsid w:val="303C356D"/>
    <w:rsid w:val="30C07D07"/>
    <w:rsid w:val="30E508AE"/>
    <w:rsid w:val="30FA452E"/>
    <w:rsid w:val="3105635A"/>
    <w:rsid w:val="3120566D"/>
    <w:rsid w:val="31262B0D"/>
    <w:rsid w:val="31351AE7"/>
    <w:rsid w:val="314C1F47"/>
    <w:rsid w:val="315D2575"/>
    <w:rsid w:val="318674C3"/>
    <w:rsid w:val="31E1035F"/>
    <w:rsid w:val="32030732"/>
    <w:rsid w:val="320805DA"/>
    <w:rsid w:val="3216623C"/>
    <w:rsid w:val="32827C19"/>
    <w:rsid w:val="32916FFD"/>
    <w:rsid w:val="3296500D"/>
    <w:rsid w:val="32C7262F"/>
    <w:rsid w:val="33705C39"/>
    <w:rsid w:val="33775D80"/>
    <w:rsid w:val="339B4389"/>
    <w:rsid w:val="33A27C04"/>
    <w:rsid w:val="33BB2397"/>
    <w:rsid w:val="341559D7"/>
    <w:rsid w:val="342C360F"/>
    <w:rsid w:val="343E2A55"/>
    <w:rsid w:val="34573026"/>
    <w:rsid w:val="347864A7"/>
    <w:rsid w:val="347D73C7"/>
    <w:rsid w:val="34C10AED"/>
    <w:rsid w:val="350F0980"/>
    <w:rsid w:val="3529457B"/>
    <w:rsid w:val="35DB559B"/>
    <w:rsid w:val="35F538D3"/>
    <w:rsid w:val="35FB43C0"/>
    <w:rsid w:val="35FD5040"/>
    <w:rsid w:val="36391F3A"/>
    <w:rsid w:val="366E242B"/>
    <w:rsid w:val="36712C55"/>
    <w:rsid w:val="368A6F17"/>
    <w:rsid w:val="36BA39B5"/>
    <w:rsid w:val="36D16C6F"/>
    <w:rsid w:val="36D570C5"/>
    <w:rsid w:val="36E45212"/>
    <w:rsid w:val="37031310"/>
    <w:rsid w:val="373921F1"/>
    <w:rsid w:val="37773143"/>
    <w:rsid w:val="3797783E"/>
    <w:rsid w:val="37C74AAB"/>
    <w:rsid w:val="37CE1367"/>
    <w:rsid w:val="38012A65"/>
    <w:rsid w:val="380A5742"/>
    <w:rsid w:val="381A204F"/>
    <w:rsid w:val="38286D22"/>
    <w:rsid w:val="382A2A41"/>
    <w:rsid w:val="382A30F6"/>
    <w:rsid w:val="383B0909"/>
    <w:rsid w:val="388F4F9A"/>
    <w:rsid w:val="389529DF"/>
    <w:rsid w:val="38976E7F"/>
    <w:rsid w:val="38995C52"/>
    <w:rsid w:val="389A4031"/>
    <w:rsid w:val="39162FC5"/>
    <w:rsid w:val="395579B5"/>
    <w:rsid w:val="395C1E67"/>
    <w:rsid w:val="3988639B"/>
    <w:rsid w:val="39D029B5"/>
    <w:rsid w:val="39E552CA"/>
    <w:rsid w:val="3A185129"/>
    <w:rsid w:val="3A3E4582"/>
    <w:rsid w:val="3A453706"/>
    <w:rsid w:val="3A45640D"/>
    <w:rsid w:val="3A4D7BB4"/>
    <w:rsid w:val="3A9C3B87"/>
    <w:rsid w:val="3AD51FBA"/>
    <w:rsid w:val="3AEB1C83"/>
    <w:rsid w:val="3AF63929"/>
    <w:rsid w:val="3B007FD8"/>
    <w:rsid w:val="3B0675C3"/>
    <w:rsid w:val="3B3620F6"/>
    <w:rsid w:val="3B5953EB"/>
    <w:rsid w:val="3B5E036E"/>
    <w:rsid w:val="3BEA2860"/>
    <w:rsid w:val="3C1C5FA0"/>
    <w:rsid w:val="3C1D1FCF"/>
    <w:rsid w:val="3C2105FF"/>
    <w:rsid w:val="3C7F0E29"/>
    <w:rsid w:val="3CC176EC"/>
    <w:rsid w:val="3CF932EC"/>
    <w:rsid w:val="3D0777F5"/>
    <w:rsid w:val="3D0B6455"/>
    <w:rsid w:val="3D1D3E6A"/>
    <w:rsid w:val="3D207130"/>
    <w:rsid w:val="3D4520CB"/>
    <w:rsid w:val="3D5951C4"/>
    <w:rsid w:val="3D64076C"/>
    <w:rsid w:val="3D783D69"/>
    <w:rsid w:val="3DAB4F36"/>
    <w:rsid w:val="3DB945F2"/>
    <w:rsid w:val="3DBD6A97"/>
    <w:rsid w:val="3E5561EF"/>
    <w:rsid w:val="3E7338B9"/>
    <w:rsid w:val="3E872C92"/>
    <w:rsid w:val="3E95498C"/>
    <w:rsid w:val="3EC44767"/>
    <w:rsid w:val="3F2D39A7"/>
    <w:rsid w:val="3F486CC3"/>
    <w:rsid w:val="3F6C2A05"/>
    <w:rsid w:val="3F754A9E"/>
    <w:rsid w:val="3F821AEB"/>
    <w:rsid w:val="3F853869"/>
    <w:rsid w:val="3FC95746"/>
    <w:rsid w:val="3FD015F0"/>
    <w:rsid w:val="3FDC7411"/>
    <w:rsid w:val="3FE83CE2"/>
    <w:rsid w:val="3FF4443B"/>
    <w:rsid w:val="40092958"/>
    <w:rsid w:val="400B384D"/>
    <w:rsid w:val="400F4623"/>
    <w:rsid w:val="40273D0A"/>
    <w:rsid w:val="402900C3"/>
    <w:rsid w:val="40360DC4"/>
    <w:rsid w:val="404B7DB0"/>
    <w:rsid w:val="40937556"/>
    <w:rsid w:val="409451E9"/>
    <w:rsid w:val="40FB6CCB"/>
    <w:rsid w:val="41230A45"/>
    <w:rsid w:val="41282D98"/>
    <w:rsid w:val="412E4DA0"/>
    <w:rsid w:val="41852195"/>
    <w:rsid w:val="419158DF"/>
    <w:rsid w:val="421919EF"/>
    <w:rsid w:val="428D19D0"/>
    <w:rsid w:val="42B42B0F"/>
    <w:rsid w:val="42C534F8"/>
    <w:rsid w:val="42FD549C"/>
    <w:rsid w:val="43323EA1"/>
    <w:rsid w:val="435D6172"/>
    <w:rsid w:val="438B0EB4"/>
    <w:rsid w:val="439F4DF0"/>
    <w:rsid w:val="43B943E8"/>
    <w:rsid w:val="441E6863"/>
    <w:rsid w:val="442D5FCD"/>
    <w:rsid w:val="44300CB9"/>
    <w:rsid w:val="443864E5"/>
    <w:rsid w:val="444529B0"/>
    <w:rsid w:val="44683EA4"/>
    <w:rsid w:val="447A077E"/>
    <w:rsid w:val="449851D6"/>
    <w:rsid w:val="44B75F89"/>
    <w:rsid w:val="451B0B36"/>
    <w:rsid w:val="452D754F"/>
    <w:rsid w:val="45504108"/>
    <w:rsid w:val="45764B55"/>
    <w:rsid w:val="45A4777E"/>
    <w:rsid w:val="45B12219"/>
    <w:rsid w:val="45BB12CB"/>
    <w:rsid w:val="45BB4530"/>
    <w:rsid w:val="45D15E81"/>
    <w:rsid w:val="46080139"/>
    <w:rsid w:val="4618037D"/>
    <w:rsid w:val="461E53A0"/>
    <w:rsid w:val="46257D2A"/>
    <w:rsid w:val="46407EEC"/>
    <w:rsid w:val="46456C98"/>
    <w:rsid w:val="46494D56"/>
    <w:rsid w:val="46494FE1"/>
    <w:rsid w:val="465B3FCD"/>
    <w:rsid w:val="46761CF7"/>
    <w:rsid w:val="46841EB6"/>
    <w:rsid w:val="46AD051A"/>
    <w:rsid w:val="46C70536"/>
    <w:rsid w:val="46ED02E6"/>
    <w:rsid w:val="4733505E"/>
    <w:rsid w:val="476E00C1"/>
    <w:rsid w:val="47C1737D"/>
    <w:rsid w:val="47D4126B"/>
    <w:rsid w:val="47DC5461"/>
    <w:rsid w:val="48391F39"/>
    <w:rsid w:val="484E74F4"/>
    <w:rsid w:val="485E45E5"/>
    <w:rsid w:val="48632E34"/>
    <w:rsid w:val="486419EF"/>
    <w:rsid w:val="48B51DF5"/>
    <w:rsid w:val="48B6799B"/>
    <w:rsid w:val="48C36A60"/>
    <w:rsid w:val="48E1714C"/>
    <w:rsid w:val="49252100"/>
    <w:rsid w:val="49747FC0"/>
    <w:rsid w:val="49792B95"/>
    <w:rsid w:val="497A3655"/>
    <w:rsid w:val="49870909"/>
    <w:rsid w:val="49AD1AD6"/>
    <w:rsid w:val="49BD1949"/>
    <w:rsid w:val="49D5168C"/>
    <w:rsid w:val="49DA0D30"/>
    <w:rsid w:val="4B05048D"/>
    <w:rsid w:val="4B1032C7"/>
    <w:rsid w:val="4B831863"/>
    <w:rsid w:val="4BE96819"/>
    <w:rsid w:val="4C266086"/>
    <w:rsid w:val="4C4D4659"/>
    <w:rsid w:val="4C5B3B23"/>
    <w:rsid w:val="4C683DDD"/>
    <w:rsid w:val="4CA35D56"/>
    <w:rsid w:val="4CCD4046"/>
    <w:rsid w:val="4CD700C2"/>
    <w:rsid w:val="4CF141F1"/>
    <w:rsid w:val="4D1665B1"/>
    <w:rsid w:val="4D297313"/>
    <w:rsid w:val="4D3A1520"/>
    <w:rsid w:val="4DCB5964"/>
    <w:rsid w:val="4DCC5F78"/>
    <w:rsid w:val="4DE2647A"/>
    <w:rsid w:val="4E2D47A9"/>
    <w:rsid w:val="4E3B6620"/>
    <w:rsid w:val="4E3C7D91"/>
    <w:rsid w:val="4E7B4AB7"/>
    <w:rsid w:val="4E7F79AD"/>
    <w:rsid w:val="4EB50394"/>
    <w:rsid w:val="4EBE0C41"/>
    <w:rsid w:val="4EDE023C"/>
    <w:rsid w:val="4EFE7C51"/>
    <w:rsid w:val="4F1F277C"/>
    <w:rsid w:val="4F2A1309"/>
    <w:rsid w:val="4F512B51"/>
    <w:rsid w:val="4F732159"/>
    <w:rsid w:val="4F804841"/>
    <w:rsid w:val="4F807EE2"/>
    <w:rsid w:val="4F856F66"/>
    <w:rsid w:val="4F8852F4"/>
    <w:rsid w:val="4FA556EA"/>
    <w:rsid w:val="4FA82BC6"/>
    <w:rsid w:val="4FBF7ABB"/>
    <w:rsid w:val="500414AF"/>
    <w:rsid w:val="502A5A26"/>
    <w:rsid w:val="5067010A"/>
    <w:rsid w:val="50695F74"/>
    <w:rsid w:val="50865D61"/>
    <w:rsid w:val="514154F3"/>
    <w:rsid w:val="51447CFE"/>
    <w:rsid w:val="514A7858"/>
    <w:rsid w:val="516945EC"/>
    <w:rsid w:val="51B46799"/>
    <w:rsid w:val="51C8069B"/>
    <w:rsid w:val="51CF13AB"/>
    <w:rsid w:val="524B2581"/>
    <w:rsid w:val="525F4795"/>
    <w:rsid w:val="529D04C4"/>
    <w:rsid w:val="529F291F"/>
    <w:rsid w:val="52AD38A6"/>
    <w:rsid w:val="52CC3805"/>
    <w:rsid w:val="52CF1C3A"/>
    <w:rsid w:val="53492B23"/>
    <w:rsid w:val="53703A9C"/>
    <w:rsid w:val="539F0445"/>
    <w:rsid w:val="53DB5F37"/>
    <w:rsid w:val="53ED33FC"/>
    <w:rsid w:val="53FD6E04"/>
    <w:rsid w:val="544D38E7"/>
    <w:rsid w:val="545A7D99"/>
    <w:rsid w:val="546437E5"/>
    <w:rsid w:val="54746929"/>
    <w:rsid w:val="547C241C"/>
    <w:rsid w:val="54A3656B"/>
    <w:rsid w:val="54C815D8"/>
    <w:rsid w:val="54CB0EE9"/>
    <w:rsid w:val="54CB60C9"/>
    <w:rsid w:val="54D57E08"/>
    <w:rsid w:val="54D84309"/>
    <w:rsid w:val="55391C31"/>
    <w:rsid w:val="553920BD"/>
    <w:rsid w:val="55B34959"/>
    <w:rsid w:val="55E0078B"/>
    <w:rsid w:val="55FF0ECD"/>
    <w:rsid w:val="5641207E"/>
    <w:rsid w:val="565301B6"/>
    <w:rsid w:val="565F3F0B"/>
    <w:rsid w:val="565F7B44"/>
    <w:rsid w:val="568662CB"/>
    <w:rsid w:val="56D22697"/>
    <w:rsid w:val="56FC5EAD"/>
    <w:rsid w:val="57064574"/>
    <w:rsid w:val="57165670"/>
    <w:rsid w:val="576B22D6"/>
    <w:rsid w:val="577B13DD"/>
    <w:rsid w:val="57A2378E"/>
    <w:rsid w:val="57A361C4"/>
    <w:rsid w:val="57C2283E"/>
    <w:rsid w:val="582E40BC"/>
    <w:rsid w:val="58371130"/>
    <w:rsid w:val="58405946"/>
    <w:rsid w:val="584B60C7"/>
    <w:rsid w:val="584E7D3A"/>
    <w:rsid w:val="586F6E5C"/>
    <w:rsid w:val="58C03D66"/>
    <w:rsid w:val="58C61C9D"/>
    <w:rsid w:val="58F4784F"/>
    <w:rsid w:val="59051B28"/>
    <w:rsid w:val="593532B3"/>
    <w:rsid w:val="594C04C7"/>
    <w:rsid w:val="595B1837"/>
    <w:rsid w:val="596C5A98"/>
    <w:rsid w:val="59AB1684"/>
    <w:rsid w:val="59AF1AB0"/>
    <w:rsid w:val="59EC76FE"/>
    <w:rsid w:val="59F92A66"/>
    <w:rsid w:val="5A09116A"/>
    <w:rsid w:val="5A3E0CC1"/>
    <w:rsid w:val="5A405001"/>
    <w:rsid w:val="5A4710C3"/>
    <w:rsid w:val="5A611D12"/>
    <w:rsid w:val="5A7E3159"/>
    <w:rsid w:val="5A9D633C"/>
    <w:rsid w:val="5AE450FB"/>
    <w:rsid w:val="5AF050F1"/>
    <w:rsid w:val="5B361274"/>
    <w:rsid w:val="5B614411"/>
    <w:rsid w:val="5B6A54C4"/>
    <w:rsid w:val="5BC3713E"/>
    <w:rsid w:val="5BC46C77"/>
    <w:rsid w:val="5BD07146"/>
    <w:rsid w:val="5C076A71"/>
    <w:rsid w:val="5C084598"/>
    <w:rsid w:val="5C09726B"/>
    <w:rsid w:val="5C1B3BFC"/>
    <w:rsid w:val="5C5934A6"/>
    <w:rsid w:val="5C5F0542"/>
    <w:rsid w:val="5C73006C"/>
    <w:rsid w:val="5C78513C"/>
    <w:rsid w:val="5C905D47"/>
    <w:rsid w:val="5C9E5CBA"/>
    <w:rsid w:val="5CA949CF"/>
    <w:rsid w:val="5CEF308C"/>
    <w:rsid w:val="5CFF7847"/>
    <w:rsid w:val="5D07457C"/>
    <w:rsid w:val="5D6A1B6E"/>
    <w:rsid w:val="5D722610"/>
    <w:rsid w:val="5DB63F10"/>
    <w:rsid w:val="5DCC2FE5"/>
    <w:rsid w:val="5DD04E07"/>
    <w:rsid w:val="5DD87AC7"/>
    <w:rsid w:val="5E012C8E"/>
    <w:rsid w:val="5E0B403E"/>
    <w:rsid w:val="5E3575A1"/>
    <w:rsid w:val="5E6E70AB"/>
    <w:rsid w:val="5E99597B"/>
    <w:rsid w:val="5E9F0F37"/>
    <w:rsid w:val="5EA12E58"/>
    <w:rsid w:val="5EBB3C87"/>
    <w:rsid w:val="5EDB1D20"/>
    <w:rsid w:val="5EE2062A"/>
    <w:rsid w:val="5EFF1FAD"/>
    <w:rsid w:val="5F0C2933"/>
    <w:rsid w:val="5F1415E8"/>
    <w:rsid w:val="5F5024B8"/>
    <w:rsid w:val="5F626B29"/>
    <w:rsid w:val="5F9B2B5E"/>
    <w:rsid w:val="5FC30045"/>
    <w:rsid w:val="5FD0338A"/>
    <w:rsid w:val="5FF04420"/>
    <w:rsid w:val="604C2348"/>
    <w:rsid w:val="606E4BED"/>
    <w:rsid w:val="60767730"/>
    <w:rsid w:val="60B85DD8"/>
    <w:rsid w:val="60C76B88"/>
    <w:rsid w:val="61293C6F"/>
    <w:rsid w:val="613F280A"/>
    <w:rsid w:val="614C4F26"/>
    <w:rsid w:val="615E6A6E"/>
    <w:rsid w:val="617A7A66"/>
    <w:rsid w:val="618C4C10"/>
    <w:rsid w:val="61DF16E1"/>
    <w:rsid w:val="61E062F2"/>
    <w:rsid w:val="623575BC"/>
    <w:rsid w:val="623819EB"/>
    <w:rsid w:val="624327CD"/>
    <w:rsid w:val="6277412A"/>
    <w:rsid w:val="627A4F9D"/>
    <w:rsid w:val="62AA261C"/>
    <w:rsid w:val="62EB733F"/>
    <w:rsid w:val="62F002E2"/>
    <w:rsid w:val="62F17359"/>
    <w:rsid w:val="62FB0446"/>
    <w:rsid w:val="63352934"/>
    <w:rsid w:val="63594AB2"/>
    <w:rsid w:val="636A603A"/>
    <w:rsid w:val="638356CA"/>
    <w:rsid w:val="63847CE5"/>
    <w:rsid w:val="63A50979"/>
    <w:rsid w:val="63AE25FB"/>
    <w:rsid w:val="63B002F5"/>
    <w:rsid w:val="63F37A3F"/>
    <w:rsid w:val="6422778A"/>
    <w:rsid w:val="64240B39"/>
    <w:rsid w:val="648B46FB"/>
    <w:rsid w:val="64BD5B0D"/>
    <w:rsid w:val="64DF405A"/>
    <w:rsid w:val="64DF4274"/>
    <w:rsid w:val="64E5748B"/>
    <w:rsid w:val="65674A25"/>
    <w:rsid w:val="6578278E"/>
    <w:rsid w:val="65A04C05"/>
    <w:rsid w:val="65C530C1"/>
    <w:rsid w:val="660B589D"/>
    <w:rsid w:val="660C075A"/>
    <w:rsid w:val="66212DC7"/>
    <w:rsid w:val="66224A7C"/>
    <w:rsid w:val="6640556D"/>
    <w:rsid w:val="66502FE4"/>
    <w:rsid w:val="66C61C36"/>
    <w:rsid w:val="6712451C"/>
    <w:rsid w:val="671F565D"/>
    <w:rsid w:val="678F547F"/>
    <w:rsid w:val="68192EAA"/>
    <w:rsid w:val="683F75E0"/>
    <w:rsid w:val="68441E40"/>
    <w:rsid w:val="688038EB"/>
    <w:rsid w:val="68856B9C"/>
    <w:rsid w:val="68890590"/>
    <w:rsid w:val="691460F2"/>
    <w:rsid w:val="6942153C"/>
    <w:rsid w:val="698F0442"/>
    <w:rsid w:val="69D03237"/>
    <w:rsid w:val="69F4359C"/>
    <w:rsid w:val="6A4F55F8"/>
    <w:rsid w:val="6A9776F8"/>
    <w:rsid w:val="6AA422FA"/>
    <w:rsid w:val="6AB50D33"/>
    <w:rsid w:val="6AB90644"/>
    <w:rsid w:val="6AF578AA"/>
    <w:rsid w:val="6B2F05CB"/>
    <w:rsid w:val="6B603FD5"/>
    <w:rsid w:val="6B74203A"/>
    <w:rsid w:val="6BD14B75"/>
    <w:rsid w:val="6BF5516E"/>
    <w:rsid w:val="6C317C13"/>
    <w:rsid w:val="6C4D12F8"/>
    <w:rsid w:val="6CB00A5F"/>
    <w:rsid w:val="6CC33615"/>
    <w:rsid w:val="6CE535F4"/>
    <w:rsid w:val="6CF43042"/>
    <w:rsid w:val="6D3C2C59"/>
    <w:rsid w:val="6D864955"/>
    <w:rsid w:val="6DBB22B6"/>
    <w:rsid w:val="6DC43302"/>
    <w:rsid w:val="6DE13617"/>
    <w:rsid w:val="6DED3B0F"/>
    <w:rsid w:val="6E085DF1"/>
    <w:rsid w:val="6E3661C1"/>
    <w:rsid w:val="6E3F209B"/>
    <w:rsid w:val="6E872488"/>
    <w:rsid w:val="6E9F2B3A"/>
    <w:rsid w:val="6ECB7DD2"/>
    <w:rsid w:val="6ECD7B9B"/>
    <w:rsid w:val="6EEC1442"/>
    <w:rsid w:val="6F4C04CE"/>
    <w:rsid w:val="6F7B4EC0"/>
    <w:rsid w:val="6F9B1553"/>
    <w:rsid w:val="6F9E1A12"/>
    <w:rsid w:val="6FC466C9"/>
    <w:rsid w:val="6FDE1F05"/>
    <w:rsid w:val="6FEB4789"/>
    <w:rsid w:val="701A602E"/>
    <w:rsid w:val="701E6384"/>
    <w:rsid w:val="708072BF"/>
    <w:rsid w:val="70A35410"/>
    <w:rsid w:val="70A7640E"/>
    <w:rsid w:val="70B54896"/>
    <w:rsid w:val="70CB1652"/>
    <w:rsid w:val="70E909E4"/>
    <w:rsid w:val="712C58BD"/>
    <w:rsid w:val="71402274"/>
    <w:rsid w:val="7183311E"/>
    <w:rsid w:val="719901C0"/>
    <w:rsid w:val="71BC6DDC"/>
    <w:rsid w:val="71DE7F6F"/>
    <w:rsid w:val="720B300A"/>
    <w:rsid w:val="724B3AA0"/>
    <w:rsid w:val="72921F74"/>
    <w:rsid w:val="72AD7593"/>
    <w:rsid w:val="72D964AF"/>
    <w:rsid w:val="72FF629D"/>
    <w:rsid w:val="73393941"/>
    <w:rsid w:val="73B409A8"/>
    <w:rsid w:val="73C372CA"/>
    <w:rsid w:val="73D96E09"/>
    <w:rsid w:val="73E57886"/>
    <w:rsid w:val="73F957F0"/>
    <w:rsid w:val="74122125"/>
    <w:rsid w:val="743A4045"/>
    <w:rsid w:val="743B435A"/>
    <w:rsid w:val="744228E5"/>
    <w:rsid w:val="744A1EFC"/>
    <w:rsid w:val="74737C8E"/>
    <w:rsid w:val="748010C7"/>
    <w:rsid w:val="74B2556A"/>
    <w:rsid w:val="74F956F8"/>
    <w:rsid w:val="7525061B"/>
    <w:rsid w:val="7534789E"/>
    <w:rsid w:val="755D0EB8"/>
    <w:rsid w:val="75A853EC"/>
    <w:rsid w:val="75C52B8D"/>
    <w:rsid w:val="75CB4014"/>
    <w:rsid w:val="75D7705D"/>
    <w:rsid w:val="75DE4703"/>
    <w:rsid w:val="76077E1B"/>
    <w:rsid w:val="761643E0"/>
    <w:rsid w:val="763C4DF4"/>
    <w:rsid w:val="76505394"/>
    <w:rsid w:val="768A40CF"/>
    <w:rsid w:val="772D1880"/>
    <w:rsid w:val="776F1EDB"/>
    <w:rsid w:val="777918E8"/>
    <w:rsid w:val="777F74CF"/>
    <w:rsid w:val="778A7B4E"/>
    <w:rsid w:val="77D00208"/>
    <w:rsid w:val="77EA1776"/>
    <w:rsid w:val="77F2263B"/>
    <w:rsid w:val="7810075F"/>
    <w:rsid w:val="79022643"/>
    <w:rsid w:val="791F6F11"/>
    <w:rsid w:val="793B096D"/>
    <w:rsid w:val="793E7496"/>
    <w:rsid w:val="796E5936"/>
    <w:rsid w:val="796E7733"/>
    <w:rsid w:val="79774A39"/>
    <w:rsid w:val="79867AB3"/>
    <w:rsid w:val="79A66B9A"/>
    <w:rsid w:val="79C27DAC"/>
    <w:rsid w:val="79F41AA5"/>
    <w:rsid w:val="79FE00F1"/>
    <w:rsid w:val="7A15284A"/>
    <w:rsid w:val="7A354085"/>
    <w:rsid w:val="7ABB6F4D"/>
    <w:rsid w:val="7ACA7EDC"/>
    <w:rsid w:val="7AD46E57"/>
    <w:rsid w:val="7AEA6B74"/>
    <w:rsid w:val="7AF42067"/>
    <w:rsid w:val="7B0408F4"/>
    <w:rsid w:val="7B1B79EC"/>
    <w:rsid w:val="7B2A6D55"/>
    <w:rsid w:val="7B432130"/>
    <w:rsid w:val="7B4363EC"/>
    <w:rsid w:val="7B4C37E3"/>
    <w:rsid w:val="7B8F0147"/>
    <w:rsid w:val="7B9324AC"/>
    <w:rsid w:val="7B9F7223"/>
    <w:rsid w:val="7BC56962"/>
    <w:rsid w:val="7BEC481B"/>
    <w:rsid w:val="7BFA6FFA"/>
    <w:rsid w:val="7C055FE7"/>
    <w:rsid w:val="7C0E7550"/>
    <w:rsid w:val="7C386CDE"/>
    <w:rsid w:val="7C5F7262"/>
    <w:rsid w:val="7C6972EE"/>
    <w:rsid w:val="7C922862"/>
    <w:rsid w:val="7CA52EC3"/>
    <w:rsid w:val="7CBB1486"/>
    <w:rsid w:val="7CC30583"/>
    <w:rsid w:val="7CC51982"/>
    <w:rsid w:val="7D596E7A"/>
    <w:rsid w:val="7D6303A7"/>
    <w:rsid w:val="7D6744C3"/>
    <w:rsid w:val="7D6A1F49"/>
    <w:rsid w:val="7D76221B"/>
    <w:rsid w:val="7DBE3C22"/>
    <w:rsid w:val="7DD75130"/>
    <w:rsid w:val="7DF439B9"/>
    <w:rsid w:val="7E2777AC"/>
    <w:rsid w:val="7E31547C"/>
    <w:rsid w:val="7E691F7C"/>
    <w:rsid w:val="7E9935B7"/>
    <w:rsid w:val="7EB71AE7"/>
    <w:rsid w:val="7F4773C6"/>
    <w:rsid w:val="7FA1141F"/>
    <w:rsid w:val="7FC85C74"/>
    <w:rsid w:val="7FCA62C5"/>
    <w:rsid w:val="BFEFD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qFormat="1" w:unhideWhenUsed="0" w:uiPriority="0" w:semiHidden="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pacing w:line="360" w:lineRule="auto"/>
      <w:ind w:firstLine="482" w:firstLineChars="200"/>
      <w:jc w:val="both"/>
    </w:pPr>
    <w:rPr>
      <w:rFonts w:ascii="Times New Roman" w:hAnsi="Times New Roman" w:eastAsia="仿宋_GB2312" w:cs="宋体"/>
      <w:sz w:val="24"/>
      <w:szCs w:val="24"/>
      <w:lang w:val="en-US" w:eastAsia="zh-CN" w:bidi="ar-SA"/>
    </w:rPr>
  </w:style>
  <w:style w:type="paragraph" w:styleId="2">
    <w:name w:val="heading 1"/>
    <w:basedOn w:val="1"/>
    <w:next w:val="1"/>
    <w:qFormat/>
    <w:uiPriority w:val="0"/>
    <w:pPr>
      <w:keepNext/>
      <w:keepLines/>
      <w:spacing w:before="340" w:after="330" w:line="480" w:lineRule="auto"/>
      <w:ind w:firstLine="200"/>
      <w:jc w:val="center"/>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ind w:firstLine="0" w:firstLineChars="0"/>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widowControl w:val="0"/>
      <w:adjustRightInd/>
      <w:spacing w:line="240" w:lineRule="auto"/>
      <w:ind w:left="2520" w:leftChars="1200" w:firstLine="0" w:firstLineChars="0"/>
    </w:pPr>
    <w:rPr>
      <w:rFonts w:asciiTheme="minorHAnsi" w:hAnsiTheme="minorHAnsi" w:eastAsiaTheme="minorEastAsia" w:cstheme="minorBidi"/>
      <w:kern w:val="2"/>
      <w:sz w:val="21"/>
      <w:szCs w:val="22"/>
    </w:rPr>
  </w:style>
  <w:style w:type="paragraph" w:styleId="7">
    <w:name w:val="annotation text"/>
    <w:basedOn w:val="1"/>
    <w:link w:val="34"/>
    <w:qFormat/>
    <w:uiPriority w:val="0"/>
  </w:style>
  <w:style w:type="paragraph" w:styleId="8">
    <w:name w:val="Body Text"/>
    <w:basedOn w:val="1"/>
    <w:link w:val="125"/>
    <w:semiHidden/>
    <w:unhideWhenUsed/>
    <w:qFormat/>
    <w:uiPriority w:val="0"/>
    <w:pPr>
      <w:spacing w:after="120"/>
    </w:pPr>
  </w:style>
  <w:style w:type="paragraph" w:styleId="9">
    <w:name w:val="toc 5"/>
    <w:basedOn w:val="1"/>
    <w:next w:val="1"/>
    <w:unhideWhenUsed/>
    <w:qFormat/>
    <w:uiPriority w:val="39"/>
    <w:pPr>
      <w:widowControl w:val="0"/>
      <w:adjustRightInd/>
      <w:spacing w:line="240" w:lineRule="auto"/>
      <w:ind w:left="1680" w:leftChars="800" w:firstLine="0" w:firstLineChars="0"/>
    </w:pPr>
    <w:rPr>
      <w:rFonts w:asciiTheme="minorHAnsi" w:hAnsiTheme="minorHAnsi" w:eastAsiaTheme="minorEastAsia" w:cstheme="minorBidi"/>
      <w:kern w:val="2"/>
      <w:sz w:val="21"/>
      <w:szCs w:val="22"/>
    </w:rPr>
  </w:style>
  <w:style w:type="paragraph" w:styleId="10">
    <w:name w:val="toc 3"/>
    <w:basedOn w:val="1"/>
    <w:next w:val="1"/>
    <w:unhideWhenUsed/>
    <w:qFormat/>
    <w:uiPriority w:val="39"/>
    <w:pPr>
      <w:adjustRightInd/>
      <w:spacing w:after="100" w:line="259" w:lineRule="auto"/>
      <w:ind w:left="440" w:firstLine="0" w:firstLineChars="0"/>
    </w:pPr>
    <w:rPr>
      <w:rFonts w:cs="Times New Roman" w:asciiTheme="minorHAnsi" w:hAnsiTheme="minorHAnsi" w:eastAsiaTheme="minorEastAsia"/>
      <w:sz w:val="22"/>
      <w:szCs w:val="22"/>
    </w:rPr>
  </w:style>
  <w:style w:type="paragraph" w:styleId="11">
    <w:name w:val="Plain Text"/>
    <w:basedOn w:val="1"/>
    <w:qFormat/>
    <w:uiPriority w:val="0"/>
    <w:pPr>
      <w:spacing w:line="300" w:lineRule="auto"/>
    </w:pPr>
    <w:rPr>
      <w:rFonts w:hAnsi="Courier New" w:cs="Times New Roman"/>
      <w:szCs w:val="20"/>
    </w:rPr>
  </w:style>
  <w:style w:type="paragraph" w:styleId="12">
    <w:name w:val="toc 8"/>
    <w:basedOn w:val="1"/>
    <w:next w:val="1"/>
    <w:unhideWhenUsed/>
    <w:qFormat/>
    <w:uiPriority w:val="39"/>
    <w:pPr>
      <w:widowControl w:val="0"/>
      <w:adjustRightInd/>
      <w:spacing w:line="240" w:lineRule="auto"/>
      <w:ind w:left="2940" w:leftChars="1400" w:firstLine="0" w:firstLineChars="0"/>
    </w:pPr>
    <w:rPr>
      <w:rFonts w:asciiTheme="minorHAnsi" w:hAnsiTheme="minorHAnsi" w:eastAsiaTheme="minorEastAsia" w:cstheme="minorBidi"/>
      <w:kern w:val="2"/>
      <w:sz w:val="21"/>
      <w:szCs w:val="22"/>
    </w:rPr>
  </w:style>
  <w:style w:type="paragraph" w:styleId="13">
    <w:name w:val="Date"/>
    <w:basedOn w:val="1"/>
    <w:next w:val="1"/>
    <w:link w:val="35"/>
    <w:qFormat/>
    <w:uiPriority w:val="0"/>
    <w:pPr>
      <w:ind w:left="100" w:leftChars="2500"/>
    </w:pPr>
  </w:style>
  <w:style w:type="paragraph" w:styleId="14">
    <w:name w:val="Body Text Indent 2"/>
    <w:basedOn w:val="1"/>
    <w:qFormat/>
    <w:uiPriority w:val="0"/>
    <w:pPr>
      <w:spacing w:after="120" w:line="480" w:lineRule="auto"/>
      <w:ind w:left="420" w:leftChars="200" w:firstLine="200"/>
    </w:pPr>
    <w:rPr>
      <w:rFonts w:cs="Times New Roman"/>
      <w:kern w:val="2"/>
      <w:szCs w:val="20"/>
    </w:rPr>
  </w:style>
  <w:style w:type="paragraph" w:styleId="15">
    <w:name w:val="Balloon Text"/>
    <w:basedOn w:val="1"/>
    <w:link w:val="116"/>
    <w:qFormat/>
    <w:uiPriority w:val="0"/>
    <w:pPr>
      <w:spacing w:line="240" w:lineRule="auto"/>
    </w:pPr>
    <w:rPr>
      <w:sz w:val="18"/>
      <w:szCs w:val="18"/>
    </w:rPr>
  </w:style>
  <w:style w:type="paragraph" w:styleId="16">
    <w:name w:val="footer"/>
    <w:basedOn w:val="1"/>
    <w:link w:val="36"/>
    <w:unhideWhenUsed/>
    <w:qFormat/>
    <w:uiPriority w:val="99"/>
    <w:pPr>
      <w:tabs>
        <w:tab w:val="center" w:pos="4153"/>
        <w:tab w:val="right" w:pos="8306"/>
      </w:tabs>
      <w:snapToGrid w:val="0"/>
    </w:pPr>
    <w:rPr>
      <w:rFonts w:cs="Times New Roman"/>
      <w:kern w:val="2"/>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rFonts w:cs="Times New Roman"/>
      <w:kern w:val="2"/>
      <w:sz w:val="18"/>
      <w:szCs w:val="18"/>
    </w:rPr>
  </w:style>
  <w:style w:type="paragraph" w:styleId="18">
    <w:name w:val="toc 1"/>
    <w:basedOn w:val="1"/>
    <w:next w:val="1"/>
    <w:unhideWhenUsed/>
    <w:qFormat/>
    <w:uiPriority w:val="39"/>
    <w:pPr>
      <w:adjustRightInd/>
      <w:spacing w:after="100" w:line="259" w:lineRule="auto"/>
      <w:ind w:firstLine="0" w:firstLineChars="0"/>
    </w:pPr>
    <w:rPr>
      <w:rFonts w:cs="Times New Roman" w:asciiTheme="minorHAnsi" w:hAnsiTheme="minorHAnsi" w:eastAsiaTheme="minorEastAsia"/>
      <w:sz w:val="22"/>
      <w:szCs w:val="22"/>
    </w:rPr>
  </w:style>
  <w:style w:type="paragraph" w:styleId="19">
    <w:name w:val="toc 4"/>
    <w:basedOn w:val="1"/>
    <w:next w:val="1"/>
    <w:unhideWhenUsed/>
    <w:qFormat/>
    <w:uiPriority w:val="39"/>
    <w:pPr>
      <w:widowControl w:val="0"/>
      <w:adjustRightInd/>
      <w:spacing w:line="240" w:lineRule="auto"/>
      <w:ind w:left="1260" w:leftChars="600" w:firstLine="0" w:firstLineChars="0"/>
    </w:pPr>
    <w:rPr>
      <w:rFonts w:asciiTheme="minorHAnsi" w:hAnsiTheme="minorHAnsi" w:eastAsiaTheme="minorEastAsia" w:cstheme="minorBidi"/>
      <w:kern w:val="2"/>
      <w:sz w:val="21"/>
      <w:szCs w:val="22"/>
    </w:rPr>
  </w:style>
  <w:style w:type="paragraph" w:styleId="20">
    <w:name w:val="toc 6"/>
    <w:basedOn w:val="1"/>
    <w:next w:val="1"/>
    <w:unhideWhenUsed/>
    <w:qFormat/>
    <w:uiPriority w:val="39"/>
    <w:pPr>
      <w:widowControl w:val="0"/>
      <w:adjustRightInd/>
      <w:spacing w:line="240" w:lineRule="auto"/>
      <w:ind w:left="2100" w:leftChars="1000" w:firstLine="0" w:firstLineChars="0"/>
    </w:pPr>
    <w:rPr>
      <w:rFonts w:asciiTheme="minorHAnsi" w:hAnsiTheme="minorHAnsi" w:eastAsiaTheme="minorEastAsia" w:cstheme="minorBidi"/>
      <w:kern w:val="2"/>
      <w:sz w:val="21"/>
      <w:szCs w:val="22"/>
    </w:rPr>
  </w:style>
  <w:style w:type="paragraph" w:styleId="21">
    <w:name w:val="toc 2"/>
    <w:basedOn w:val="1"/>
    <w:next w:val="1"/>
    <w:unhideWhenUsed/>
    <w:qFormat/>
    <w:uiPriority w:val="39"/>
    <w:pPr>
      <w:adjustRightInd/>
      <w:spacing w:after="100" w:line="259" w:lineRule="auto"/>
      <w:ind w:left="220" w:firstLine="0" w:firstLineChars="0"/>
    </w:pPr>
    <w:rPr>
      <w:rFonts w:cs="Times New Roman" w:asciiTheme="minorHAnsi" w:hAnsiTheme="minorHAnsi" w:eastAsiaTheme="minorEastAsia"/>
      <w:sz w:val="22"/>
      <w:szCs w:val="22"/>
    </w:rPr>
  </w:style>
  <w:style w:type="paragraph" w:styleId="22">
    <w:name w:val="toc 9"/>
    <w:basedOn w:val="1"/>
    <w:next w:val="1"/>
    <w:unhideWhenUsed/>
    <w:qFormat/>
    <w:uiPriority w:val="39"/>
    <w:pPr>
      <w:widowControl w:val="0"/>
      <w:adjustRightInd/>
      <w:spacing w:line="240" w:lineRule="auto"/>
      <w:ind w:left="3360" w:leftChars="1600" w:firstLine="0" w:firstLineChars="0"/>
    </w:pPr>
    <w:rPr>
      <w:rFonts w:asciiTheme="minorHAnsi" w:hAnsiTheme="minorHAnsi" w:eastAsiaTheme="minorEastAsia" w:cstheme="minorBidi"/>
      <w:kern w:val="2"/>
      <w:sz w:val="21"/>
      <w:szCs w:val="22"/>
    </w:rPr>
  </w:style>
  <w:style w:type="paragraph" w:styleId="23">
    <w:name w:val="Normal (Web)"/>
    <w:basedOn w:val="1"/>
    <w:qFormat/>
    <w:uiPriority w:val="0"/>
    <w:pPr>
      <w:spacing w:beforeAutospacing="1" w:afterAutospacing="1"/>
    </w:pPr>
    <w:rPr>
      <w:rFonts w:cs="Times New Roman"/>
    </w:rPr>
  </w:style>
  <w:style w:type="paragraph" w:styleId="24">
    <w:name w:val="Title"/>
    <w:basedOn w:val="1"/>
    <w:next w:val="1"/>
    <w:qFormat/>
    <w:uiPriority w:val="0"/>
    <w:pPr>
      <w:jc w:val="center"/>
      <w:outlineLvl w:val="0"/>
    </w:pPr>
    <w:rPr>
      <w:rFonts w:ascii="Cambria" w:hAnsi="Cambria" w:cs="Times New Roman"/>
      <w:bCs/>
      <w:sz w:val="32"/>
      <w:szCs w:val="32"/>
    </w:rPr>
  </w:style>
  <w:style w:type="paragraph" w:styleId="25">
    <w:name w:val="annotation subject"/>
    <w:basedOn w:val="7"/>
    <w:next w:val="7"/>
    <w:link w:val="37"/>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unhideWhenUsed/>
    <w:qFormat/>
    <w:uiPriority w:val="99"/>
    <w:rPr>
      <w:color w:val="800080"/>
      <w:u w:val="single"/>
    </w:rPr>
  </w:style>
  <w:style w:type="character" w:styleId="32">
    <w:name w:val="Hyperlink"/>
    <w:basedOn w:val="28"/>
    <w:unhideWhenUsed/>
    <w:qFormat/>
    <w:uiPriority w:val="99"/>
    <w:rPr>
      <w:color w:val="0000FF"/>
      <w:u w:val="single"/>
    </w:rPr>
  </w:style>
  <w:style w:type="character" w:styleId="33">
    <w:name w:val="annotation reference"/>
    <w:basedOn w:val="28"/>
    <w:qFormat/>
    <w:uiPriority w:val="0"/>
    <w:rPr>
      <w:sz w:val="21"/>
      <w:szCs w:val="21"/>
    </w:rPr>
  </w:style>
  <w:style w:type="character" w:customStyle="1" w:styleId="34">
    <w:name w:val="批注文字 字符"/>
    <w:basedOn w:val="28"/>
    <w:link w:val="7"/>
    <w:qFormat/>
    <w:uiPriority w:val="0"/>
    <w:rPr>
      <w:rFonts w:ascii="宋体" w:hAnsi="宋体" w:eastAsia="仿宋" w:cs="宋体"/>
      <w:sz w:val="28"/>
      <w:szCs w:val="24"/>
    </w:rPr>
  </w:style>
  <w:style w:type="character" w:customStyle="1" w:styleId="35">
    <w:name w:val="日期 字符"/>
    <w:basedOn w:val="28"/>
    <w:link w:val="13"/>
    <w:qFormat/>
    <w:uiPriority w:val="0"/>
    <w:rPr>
      <w:rFonts w:ascii="宋体" w:hAnsi="宋体" w:eastAsia="仿宋" w:cs="宋体"/>
      <w:sz w:val="28"/>
      <w:szCs w:val="24"/>
    </w:rPr>
  </w:style>
  <w:style w:type="character" w:customStyle="1" w:styleId="36">
    <w:name w:val="页脚 字符"/>
    <w:basedOn w:val="28"/>
    <w:link w:val="16"/>
    <w:qFormat/>
    <w:uiPriority w:val="99"/>
    <w:rPr>
      <w:rFonts w:eastAsia="仿宋"/>
      <w:kern w:val="2"/>
      <w:sz w:val="18"/>
      <w:szCs w:val="18"/>
    </w:rPr>
  </w:style>
  <w:style w:type="character" w:customStyle="1" w:styleId="37">
    <w:name w:val="批注主题 字符"/>
    <w:basedOn w:val="34"/>
    <w:link w:val="25"/>
    <w:qFormat/>
    <w:uiPriority w:val="0"/>
    <w:rPr>
      <w:rFonts w:ascii="宋体" w:hAnsi="宋体" w:eastAsia="仿宋" w:cs="宋体"/>
      <w:b/>
      <w:bCs/>
      <w:sz w:val="28"/>
      <w:szCs w:val="24"/>
    </w:rPr>
  </w:style>
  <w:style w:type="paragraph" w:customStyle="1" w:styleId="38">
    <w:name w:val="表格—表头"/>
    <w:basedOn w:val="1"/>
    <w:link w:val="39"/>
    <w:qFormat/>
    <w:uiPriority w:val="0"/>
    <w:pPr>
      <w:ind w:firstLine="0" w:firstLineChars="0"/>
      <w:jc w:val="center"/>
    </w:pPr>
    <w:rPr>
      <w:rFonts w:ascii="仿宋" w:hAnsi="仿宋" w:eastAsia="黑体" w:cs="Times New Roman"/>
      <w:color w:val="000000"/>
      <w:szCs w:val="21"/>
    </w:rPr>
  </w:style>
  <w:style w:type="character" w:customStyle="1" w:styleId="39">
    <w:name w:val="表格—表头 Char"/>
    <w:link w:val="38"/>
    <w:qFormat/>
    <w:uiPriority w:val="0"/>
    <w:rPr>
      <w:rFonts w:ascii="仿宋" w:hAnsi="仿宋" w:eastAsia="黑体"/>
      <w:color w:val="000000"/>
      <w:sz w:val="24"/>
      <w:szCs w:val="21"/>
    </w:rPr>
  </w:style>
  <w:style w:type="paragraph" w:styleId="4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1">
    <w:name w:val="List Paragraph"/>
    <w:basedOn w:val="1"/>
    <w:qFormat/>
    <w:uiPriority w:val="34"/>
    <w:pPr>
      <w:ind w:firstLine="420"/>
    </w:pPr>
  </w:style>
  <w:style w:type="paragraph" w:customStyle="1" w:styleId="42">
    <w:name w:val="表内容"/>
    <w:basedOn w:val="1"/>
    <w:link w:val="43"/>
    <w:qFormat/>
    <w:uiPriority w:val="0"/>
    <w:pPr>
      <w:snapToGrid w:val="0"/>
      <w:spacing w:line="240" w:lineRule="auto"/>
      <w:ind w:firstLine="0" w:firstLineChars="0"/>
      <w:jc w:val="center"/>
    </w:pPr>
    <w:rPr>
      <w:rFonts w:cs="Times New Roman"/>
      <w:szCs w:val="20"/>
    </w:rPr>
  </w:style>
  <w:style w:type="character" w:customStyle="1" w:styleId="43">
    <w:name w:val="表内容 Char"/>
    <w:link w:val="42"/>
    <w:qFormat/>
    <w:uiPriority w:val="0"/>
    <w:rPr>
      <w:rFonts w:ascii="宋体" w:hAnsi="宋体" w:eastAsia="仿宋"/>
      <w:sz w:val="24"/>
    </w:rPr>
  </w:style>
  <w:style w:type="paragraph" w:customStyle="1" w:styleId="44">
    <w:name w:val="表格"/>
    <w:basedOn w:val="1"/>
    <w:link w:val="126"/>
    <w:qFormat/>
    <w:uiPriority w:val="0"/>
    <w:pPr>
      <w:spacing w:line="240" w:lineRule="auto"/>
      <w:ind w:firstLine="0" w:firstLineChars="0"/>
      <w:jc w:val="center"/>
    </w:pPr>
    <w:rPr>
      <w:rFonts w:cs="Times New Roman"/>
      <w:color w:val="000000"/>
      <w:sz w:val="21"/>
      <w:szCs w:val="20"/>
    </w:rPr>
  </w:style>
  <w:style w:type="paragraph" w:customStyle="1" w:styleId="45">
    <w:name w:val="1-2"/>
    <w:basedOn w:val="1"/>
    <w:next w:val="1"/>
    <w:qFormat/>
    <w:uiPriority w:val="0"/>
    <w:pPr>
      <w:keepNext/>
      <w:keepLines/>
      <w:spacing w:before="50" w:beforeLines="50"/>
      <w:outlineLvl w:val="1"/>
    </w:pPr>
    <w:rPr>
      <w:rFonts w:eastAsia="黑体"/>
      <w:kern w:val="44"/>
      <w:sz w:val="30"/>
      <w:szCs w:val="20"/>
    </w:rPr>
  </w:style>
  <w:style w:type="paragraph" w:customStyle="1" w:styleId="46">
    <w:name w:val="1-3"/>
    <w:basedOn w:val="1"/>
    <w:next w:val="1"/>
    <w:qFormat/>
    <w:uiPriority w:val="0"/>
    <w:pPr>
      <w:keepNext/>
      <w:keepLines/>
      <w:outlineLvl w:val="2"/>
    </w:pPr>
    <w:rPr>
      <w:rFonts w:eastAsia="黑体"/>
      <w:szCs w:val="20"/>
    </w:rPr>
  </w:style>
  <w:style w:type="paragraph" w:customStyle="1" w:styleId="47">
    <w:name w:val="表内容刘宗熊"/>
    <w:basedOn w:val="1"/>
    <w:qFormat/>
    <w:uiPriority w:val="0"/>
    <w:pPr>
      <w:snapToGrid w:val="0"/>
      <w:spacing w:line="240" w:lineRule="auto"/>
      <w:ind w:firstLine="0" w:firstLineChars="0"/>
      <w:jc w:val="center"/>
    </w:pPr>
    <w:rPr>
      <w:rFonts w:ascii="仿宋" w:hAnsi="仿宋"/>
      <w:color w:val="0000FF"/>
      <w:szCs w:val="21"/>
    </w:rPr>
  </w:style>
  <w:style w:type="paragraph" w:customStyle="1" w:styleId="48">
    <w:name w:val="表格样式2"/>
    <w:basedOn w:val="1"/>
    <w:qFormat/>
    <w:uiPriority w:val="0"/>
    <w:pPr>
      <w:jc w:val="center"/>
    </w:pPr>
    <w:rPr>
      <w:rFonts w:ascii="仿宋" w:hAnsi="仿宋" w:cs="Times New Roman"/>
      <w:color w:val="000000"/>
      <w:szCs w:val="20"/>
    </w:rPr>
  </w:style>
  <w:style w:type="character" w:customStyle="1" w:styleId="49">
    <w:name w:val="font21"/>
    <w:basedOn w:val="28"/>
    <w:qFormat/>
    <w:uiPriority w:val="0"/>
    <w:rPr>
      <w:rFonts w:hint="eastAsia" w:ascii="仿宋" w:hAnsi="仿宋" w:eastAsia="仿宋" w:cs="仿宋"/>
      <w:color w:val="0000FF"/>
      <w:sz w:val="21"/>
      <w:szCs w:val="21"/>
      <w:u w:val="none"/>
    </w:rPr>
  </w:style>
  <w:style w:type="character" w:customStyle="1" w:styleId="50">
    <w:name w:val="font41"/>
    <w:basedOn w:val="28"/>
    <w:qFormat/>
    <w:uiPriority w:val="0"/>
    <w:rPr>
      <w:rFonts w:hint="eastAsia" w:ascii="仿宋" w:hAnsi="仿宋" w:eastAsia="仿宋" w:cs="仿宋"/>
      <w:color w:val="0000FF"/>
      <w:sz w:val="21"/>
      <w:szCs w:val="21"/>
      <w:u w:val="none"/>
      <w:vertAlign w:val="superscript"/>
    </w:rPr>
  </w:style>
  <w:style w:type="paragraph" w:customStyle="1" w:styleId="51">
    <w:name w:val="样式 仿宋_GB2312 四号 蓝色 段前: 2.5 磅 段后: 2.5 磅"/>
    <w:basedOn w:val="1"/>
    <w:qFormat/>
    <w:uiPriority w:val="0"/>
    <w:pPr>
      <w:spacing w:before="50" w:after="50"/>
      <w:ind w:firstLine="200"/>
    </w:pPr>
    <w:rPr>
      <w:rFonts w:ascii="仿宋_GB2312"/>
      <w:color w:val="0000FF"/>
      <w:szCs w:val="28"/>
    </w:rPr>
  </w:style>
  <w:style w:type="character" w:customStyle="1" w:styleId="52">
    <w:name w:val="font51"/>
    <w:basedOn w:val="28"/>
    <w:qFormat/>
    <w:uiPriority w:val="0"/>
    <w:rPr>
      <w:rFonts w:hint="eastAsia" w:ascii="宋体" w:hAnsi="宋体" w:eastAsia="宋体" w:cs="宋体"/>
      <w:color w:val="000000"/>
      <w:sz w:val="24"/>
      <w:szCs w:val="24"/>
      <w:u w:val="none"/>
    </w:rPr>
  </w:style>
  <w:style w:type="character" w:customStyle="1" w:styleId="53">
    <w:name w:val="font11"/>
    <w:basedOn w:val="28"/>
    <w:qFormat/>
    <w:uiPriority w:val="0"/>
    <w:rPr>
      <w:rFonts w:hint="eastAsia" w:ascii="仿宋" w:hAnsi="仿宋" w:eastAsia="仿宋" w:cs="仿宋"/>
      <w:color w:val="000000"/>
      <w:sz w:val="24"/>
      <w:szCs w:val="24"/>
      <w:u w:val="none"/>
    </w:rPr>
  </w:style>
  <w:style w:type="character" w:customStyle="1" w:styleId="54">
    <w:name w:val="font01"/>
    <w:basedOn w:val="28"/>
    <w:qFormat/>
    <w:uiPriority w:val="0"/>
    <w:rPr>
      <w:rFonts w:hint="eastAsia" w:ascii="仿宋" w:hAnsi="仿宋" w:eastAsia="仿宋" w:cs="仿宋"/>
      <w:color w:val="000000"/>
      <w:sz w:val="21"/>
      <w:szCs w:val="21"/>
      <w:u w:val="none"/>
    </w:rPr>
  </w:style>
  <w:style w:type="paragraph" w:customStyle="1" w:styleId="55">
    <w:name w:val="msonormal"/>
    <w:basedOn w:val="1"/>
    <w:qFormat/>
    <w:uiPriority w:val="0"/>
    <w:pPr>
      <w:adjustRightInd/>
      <w:spacing w:before="100" w:beforeAutospacing="1" w:after="100" w:afterAutospacing="1" w:line="240" w:lineRule="auto"/>
      <w:ind w:firstLine="0" w:firstLineChars="0"/>
    </w:pPr>
    <w:rPr>
      <w:rFonts w:eastAsia="宋体"/>
    </w:rPr>
  </w:style>
  <w:style w:type="paragraph" w:customStyle="1" w:styleId="56">
    <w:name w:val="font5"/>
    <w:basedOn w:val="1"/>
    <w:qFormat/>
    <w:uiPriority w:val="0"/>
    <w:pPr>
      <w:adjustRightInd/>
      <w:spacing w:before="100" w:beforeAutospacing="1" w:after="100" w:afterAutospacing="1" w:line="240" w:lineRule="auto"/>
      <w:ind w:firstLine="0" w:firstLineChars="0"/>
    </w:pPr>
    <w:rPr>
      <w:rFonts w:eastAsia="宋体"/>
      <w:sz w:val="18"/>
      <w:szCs w:val="18"/>
    </w:rPr>
  </w:style>
  <w:style w:type="paragraph" w:customStyle="1" w:styleId="57">
    <w:name w:val="xl66"/>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ascii="仿宋" w:hAnsi="仿宋"/>
      <w:color w:val="FFFFFF"/>
      <w:sz w:val="18"/>
      <w:szCs w:val="18"/>
    </w:rPr>
  </w:style>
  <w:style w:type="paragraph" w:customStyle="1" w:styleId="58">
    <w:name w:val="xl67"/>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ascii="仿宋" w:hAnsi="仿宋"/>
      <w:sz w:val="18"/>
      <w:szCs w:val="18"/>
    </w:rPr>
  </w:style>
  <w:style w:type="paragraph" w:customStyle="1" w:styleId="59">
    <w:name w:val="xl68"/>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ascii="仿宋" w:hAnsi="仿宋"/>
      <w:sz w:val="18"/>
      <w:szCs w:val="18"/>
    </w:rPr>
  </w:style>
  <w:style w:type="paragraph" w:customStyle="1" w:styleId="60">
    <w:name w:val="xl69"/>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ascii="仿宋" w:hAnsi="仿宋"/>
    </w:rPr>
  </w:style>
  <w:style w:type="paragraph" w:customStyle="1" w:styleId="61">
    <w:name w:val="xl70"/>
    <w:basedOn w:val="1"/>
    <w:qFormat/>
    <w:uiPriority w:val="0"/>
    <w:pPr>
      <w:pBdr>
        <w:bottom w:val="single" w:color="auto" w:sz="4" w:space="0"/>
      </w:pBdr>
      <w:adjustRightInd/>
      <w:spacing w:before="100" w:beforeAutospacing="1" w:after="100" w:afterAutospacing="1" w:line="240" w:lineRule="auto"/>
      <w:ind w:firstLine="0" w:firstLineChars="0"/>
      <w:jc w:val="center"/>
      <w:textAlignment w:val="center"/>
    </w:pPr>
    <w:rPr>
      <w:rFonts w:ascii="仿宋" w:hAnsi="仿宋"/>
      <w:color w:val="000000"/>
      <w:sz w:val="21"/>
      <w:szCs w:val="21"/>
    </w:rPr>
  </w:style>
  <w:style w:type="paragraph" w:customStyle="1" w:styleId="62">
    <w:name w:val="xl71"/>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ascii="仿宋" w:hAnsi="仿宋"/>
      <w:sz w:val="21"/>
      <w:szCs w:val="21"/>
    </w:rPr>
  </w:style>
  <w:style w:type="paragraph" w:customStyle="1" w:styleId="63">
    <w:name w:val="xl72"/>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仿宋" w:hAnsi="仿宋"/>
    </w:rPr>
  </w:style>
  <w:style w:type="paragraph" w:customStyle="1" w:styleId="64">
    <w:name w:val="TOC 标题1"/>
    <w:basedOn w:val="2"/>
    <w:next w:val="1"/>
    <w:unhideWhenUsed/>
    <w:qFormat/>
    <w:uiPriority w:val="39"/>
    <w:pPr>
      <w:adjustRightInd/>
      <w:spacing w:before="240" w:after="0" w:line="259" w:lineRule="auto"/>
      <w:ind w:firstLine="0" w:firstLineChars="0"/>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65">
    <w:name w:val="未处理的提及1"/>
    <w:basedOn w:val="28"/>
    <w:semiHidden/>
    <w:unhideWhenUsed/>
    <w:qFormat/>
    <w:uiPriority w:val="99"/>
    <w:rPr>
      <w:color w:val="605E5C"/>
      <w:shd w:val="clear" w:color="auto" w:fill="E1DFDD"/>
    </w:rPr>
  </w:style>
  <w:style w:type="character" w:customStyle="1" w:styleId="66">
    <w:name w:val="未处理的提及2"/>
    <w:basedOn w:val="28"/>
    <w:semiHidden/>
    <w:unhideWhenUsed/>
    <w:qFormat/>
    <w:uiPriority w:val="99"/>
    <w:rPr>
      <w:color w:val="605E5C"/>
      <w:shd w:val="clear" w:color="auto" w:fill="E1DFDD"/>
    </w:rPr>
  </w:style>
  <w:style w:type="paragraph" w:customStyle="1" w:styleId="67">
    <w:name w:val="修订1"/>
    <w:hidden/>
    <w:semiHidden/>
    <w:qFormat/>
    <w:uiPriority w:val="99"/>
    <w:rPr>
      <w:rFonts w:ascii="宋体" w:hAnsi="宋体" w:eastAsia="仿宋" w:cs="宋体"/>
      <w:sz w:val="28"/>
      <w:szCs w:val="24"/>
      <w:lang w:val="en-US" w:eastAsia="zh-CN" w:bidi="ar-SA"/>
    </w:rPr>
  </w:style>
  <w:style w:type="paragraph" w:customStyle="1" w:styleId="68">
    <w:name w:val="font6"/>
    <w:basedOn w:val="1"/>
    <w:qFormat/>
    <w:uiPriority w:val="0"/>
    <w:pPr>
      <w:adjustRightInd/>
      <w:spacing w:before="100" w:beforeAutospacing="1" w:after="100" w:afterAutospacing="1" w:line="240" w:lineRule="auto"/>
      <w:ind w:firstLine="0" w:firstLineChars="0"/>
    </w:pPr>
    <w:rPr>
      <w:rFonts w:eastAsia="宋体"/>
      <w:szCs w:val="28"/>
    </w:rPr>
  </w:style>
  <w:style w:type="paragraph" w:customStyle="1" w:styleId="69">
    <w:name w:val="font7"/>
    <w:basedOn w:val="1"/>
    <w:qFormat/>
    <w:uiPriority w:val="0"/>
    <w:pPr>
      <w:adjustRightInd/>
      <w:spacing w:before="100" w:beforeAutospacing="1" w:after="100" w:afterAutospacing="1" w:line="240" w:lineRule="auto"/>
      <w:ind w:firstLine="0" w:firstLineChars="0"/>
    </w:pPr>
    <w:rPr>
      <w:rFonts w:ascii="仿宋" w:hAnsi="仿宋"/>
      <w:szCs w:val="28"/>
    </w:rPr>
  </w:style>
  <w:style w:type="paragraph" w:customStyle="1" w:styleId="70">
    <w:name w:val="font8"/>
    <w:basedOn w:val="1"/>
    <w:qFormat/>
    <w:uiPriority w:val="0"/>
    <w:pPr>
      <w:adjustRightInd/>
      <w:spacing w:before="100" w:beforeAutospacing="1" w:after="100" w:afterAutospacing="1" w:line="240" w:lineRule="auto"/>
      <w:ind w:firstLine="0" w:firstLineChars="0"/>
    </w:pPr>
    <w:rPr>
      <w:rFonts w:eastAsia="宋体"/>
      <w:szCs w:val="28"/>
    </w:rPr>
  </w:style>
  <w:style w:type="paragraph" w:customStyle="1" w:styleId="71">
    <w:name w:val="xl58"/>
    <w:basedOn w:val="1"/>
    <w:qFormat/>
    <w:uiPriority w:val="0"/>
    <w:pPr>
      <w:adjustRightInd/>
      <w:spacing w:before="100" w:beforeAutospacing="1" w:after="100" w:afterAutospacing="1" w:line="240" w:lineRule="auto"/>
      <w:ind w:firstLine="0" w:firstLineChars="0"/>
      <w:jc w:val="center"/>
    </w:pPr>
    <w:rPr>
      <w:rFonts w:ascii="仿宋" w:hAnsi="仿宋"/>
      <w:sz w:val="18"/>
      <w:szCs w:val="18"/>
    </w:rPr>
  </w:style>
  <w:style w:type="paragraph" w:customStyle="1" w:styleId="72">
    <w:name w:val="xl59"/>
    <w:basedOn w:val="1"/>
    <w:qFormat/>
    <w:uiPriority w:val="0"/>
    <w:pPr>
      <w:pBdr>
        <w:bottom w:val="single" w:color="auto" w:sz="4" w:space="0"/>
      </w:pBdr>
      <w:adjustRightInd/>
      <w:spacing w:before="100" w:beforeAutospacing="1" w:after="100" w:afterAutospacing="1" w:line="240" w:lineRule="auto"/>
      <w:ind w:firstLine="0" w:firstLineChars="0"/>
      <w:jc w:val="center"/>
    </w:pPr>
    <w:rPr>
      <w:rFonts w:ascii="仿宋" w:hAnsi="仿宋"/>
      <w:sz w:val="18"/>
      <w:szCs w:val="18"/>
    </w:rPr>
  </w:style>
  <w:style w:type="paragraph" w:customStyle="1" w:styleId="73">
    <w:name w:val="xl60"/>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仿宋" w:hAnsi="仿宋"/>
      <w:sz w:val="18"/>
      <w:szCs w:val="18"/>
    </w:rPr>
  </w:style>
  <w:style w:type="paragraph" w:customStyle="1" w:styleId="74">
    <w:name w:val="xl61"/>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仿宋" w:hAnsi="仿宋"/>
    </w:rPr>
  </w:style>
  <w:style w:type="paragraph" w:customStyle="1" w:styleId="75">
    <w:name w:val="xl62"/>
    <w:basedOn w:val="1"/>
    <w:qFormat/>
    <w:uiPriority w:val="0"/>
    <w:pPr>
      <w:adjustRightInd/>
      <w:spacing w:before="100" w:beforeAutospacing="1" w:after="100" w:afterAutospacing="1" w:line="240" w:lineRule="auto"/>
      <w:ind w:firstLine="0" w:firstLineChars="0"/>
      <w:jc w:val="center"/>
    </w:pPr>
    <w:rPr>
      <w:rFonts w:ascii="仿宋" w:hAnsi="仿宋"/>
      <w:szCs w:val="28"/>
    </w:rPr>
  </w:style>
  <w:style w:type="paragraph" w:customStyle="1" w:styleId="76">
    <w:name w:val="xl73"/>
    <w:basedOn w:val="1"/>
    <w:qFormat/>
    <w:uiPriority w:val="0"/>
    <w:pPr>
      <w:adjustRightInd/>
      <w:spacing w:before="100" w:beforeAutospacing="1" w:after="100" w:afterAutospacing="1" w:line="240" w:lineRule="auto"/>
      <w:ind w:firstLine="0" w:firstLineChars="0"/>
      <w:jc w:val="center"/>
    </w:pPr>
    <w:rPr>
      <w:rFonts w:eastAsia="宋体"/>
    </w:rPr>
  </w:style>
  <w:style w:type="paragraph" w:customStyle="1" w:styleId="77">
    <w:name w:val="xl74"/>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eastAsia="宋体"/>
      <w:sz w:val="18"/>
      <w:szCs w:val="18"/>
    </w:rPr>
  </w:style>
  <w:style w:type="paragraph" w:customStyle="1" w:styleId="78">
    <w:name w:val="xl75"/>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eastAsia="宋体"/>
    </w:rPr>
  </w:style>
  <w:style w:type="paragraph" w:customStyle="1" w:styleId="79">
    <w:name w:val="xl76"/>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pPr>
    <w:rPr>
      <w:rFonts w:eastAsia="宋体"/>
    </w:rPr>
  </w:style>
  <w:style w:type="paragraph" w:customStyle="1" w:styleId="80">
    <w:name w:val="xl77"/>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pPr>
    <w:rPr>
      <w:rFonts w:eastAsia="宋体"/>
    </w:rPr>
  </w:style>
  <w:style w:type="paragraph" w:customStyle="1" w:styleId="81">
    <w:name w:val="xl78"/>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82">
    <w:name w:val="xl79"/>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eastAsia="宋体" w:cs="Times New Roman"/>
      <w:sz w:val="18"/>
      <w:szCs w:val="18"/>
    </w:rPr>
  </w:style>
  <w:style w:type="paragraph" w:customStyle="1" w:styleId="83">
    <w:name w:val="xl80"/>
    <w:basedOn w:val="1"/>
    <w:qFormat/>
    <w:uiPriority w:val="0"/>
    <w:pPr>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jc w:val="center"/>
      <w:textAlignment w:val="center"/>
    </w:pPr>
    <w:rPr>
      <w:rFonts w:ascii="仿宋" w:hAnsi="仿宋"/>
    </w:rPr>
  </w:style>
  <w:style w:type="paragraph" w:customStyle="1" w:styleId="84">
    <w:name w:val="xl81"/>
    <w:basedOn w:val="1"/>
    <w:qFormat/>
    <w:uiPriority w:val="0"/>
    <w:pPr>
      <w:pBdr>
        <w:top w:val="single" w:color="auto" w:sz="4" w:space="0"/>
        <w:bottom w:val="single" w:color="auto" w:sz="4" w:space="0"/>
      </w:pBdr>
      <w:adjustRightInd/>
      <w:spacing w:before="100" w:beforeAutospacing="1" w:after="100" w:afterAutospacing="1" w:line="240" w:lineRule="auto"/>
      <w:ind w:firstLine="0" w:firstLineChars="0"/>
      <w:jc w:val="center"/>
      <w:textAlignment w:val="center"/>
    </w:pPr>
    <w:rPr>
      <w:rFonts w:ascii="仿宋" w:hAnsi="仿宋"/>
    </w:rPr>
  </w:style>
  <w:style w:type="paragraph" w:customStyle="1" w:styleId="85">
    <w:name w:val="xl82"/>
    <w:basedOn w:val="1"/>
    <w:qFormat/>
    <w:uiPriority w:val="0"/>
    <w:pPr>
      <w:pBdr>
        <w:top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ascii="仿宋" w:hAnsi="仿宋"/>
    </w:rPr>
  </w:style>
  <w:style w:type="paragraph" w:customStyle="1" w:styleId="86">
    <w:name w:val="xl83"/>
    <w:basedOn w:val="1"/>
    <w:qFormat/>
    <w:uiPriority w:val="0"/>
    <w:pPr>
      <w:pBdr>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87">
    <w:name w:val="xl84"/>
    <w:basedOn w:val="1"/>
    <w:qFormat/>
    <w:uiPriority w:val="0"/>
    <w:pPr>
      <w:pBdr>
        <w:top w:val="single" w:color="auto" w:sz="4" w:space="0"/>
        <w:left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88">
    <w:name w:val="xl85"/>
    <w:basedOn w:val="1"/>
    <w:qFormat/>
    <w:uiPriority w:val="0"/>
    <w:pPr>
      <w:pBdr>
        <w:top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89">
    <w:name w:val="xl86"/>
    <w:basedOn w:val="1"/>
    <w:qFormat/>
    <w:uiPriority w:val="0"/>
    <w:pPr>
      <w:pBdr>
        <w:left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90">
    <w:name w:val="xl87"/>
    <w:basedOn w:val="1"/>
    <w:qFormat/>
    <w:uiPriority w:val="0"/>
    <w:pPr>
      <w:pBdr>
        <w:right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91">
    <w:name w:val="xl88"/>
    <w:basedOn w:val="1"/>
    <w:qFormat/>
    <w:uiPriority w:val="0"/>
    <w:pPr>
      <w:pBdr>
        <w:left w:val="single" w:color="auto" w:sz="4" w:space="0"/>
        <w:bottom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92">
    <w:name w:val="xl89"/>
    <w:basedOn w:val="1"/>
    <w:qFormat/>
    <w:uiPriority w:val="0"/>
    <w:pPr>
      <w:pBdr>
        <w:bottom w:val="single" w:color="auto" w:sz="4" w:space="0"/>
        <w:right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93">
    <w:name w:val="xl90"/>
    <w:basedOn w:val="1"/>
    <w:qFormat/>
    <w:uiPriority w:val="0"/>
    <w:pPr>
      <w:pBdr>
        <w:top w:val="single" w:color="auto" w:sz="4" w:space="0"/>
        <w:left w:val="single" w:color="auto" w:sz="4" w:space="0"/>
        <w:bottom w:val="single" w:color="auto" w:sz="4" w:space="0"/>
        <w:right w:val="single" w:color="auto" w:sz="4" w:space="0"/>
      </w:pBdr>
      <w:shd w:val="clear" w:color="000000" w:fill="E2EFDA"/>
      <w:adjustRightInd/>
      <w:spacing w:before="100" w:beforeAutospacing="1" w:after="100" w:afterAutospacing="1" w:line="240" w:lineRule="auto"/>
      <w:ind w:firstLine="0" w:firstLineChars="0"/>
      <w:jc w:val="center"/>
      <w:textAlignment w:val="center"/>
    </w:pPr>
    <w:rPr>
      <w:rFonts w:eastAsia="宋体"/>
      <w:sz w:val="18"/>
      <w:szCs w:val="18"/>
    </w:rPr>
  </w:style>
  <w:style w:type="paragraph" w:customStyle="1" w:styleId="94">
    <w:name w:val="xl91"/>
    <w:basedOn w:val="1"/>
    <w:qFormat/>
    <w:uiPriority w:val="0"/>
    <w:pPr>
      <w:pBdr>
        <w:top w:val="single" w:color="auto" w:sz="4" w:space="0"/>
        <w:left w:val="single" w:color="auto" w:sz="4" w:space="0"/>
        <w:bottom w:val="single" w:color="auto" w:sz="4" w:space="0"/>
        <w:right w:val="single" w:color="auto" w:sz="4" w:space="0"/>
      </w:pBdr>
      <w:shd w:val="clear" w:color="000000" w:fill="E2EFDA"/>
      <w:adjustRightInd/>
      <w:spacing w:before="100" w:beforeAutospacing="1" w:after="100" w:afterAutospacing="1" w:line="240" w:lineRule="auto"/>
      <w:ind w:firstLine="0" w:firstLineChars="0"/>
      <w:jc w:val="center"/>
      <w:textAlignment w:val="center"/>
    </w:pPr>
    <w:rPr>
      <w:rFonts w:eastAsia="宋体" w:cs="Times New Roman"/>
      <w:sz w:val="18"/>
      <w:szCs w:val="18"/>
    </w:rPr>
  </w:style>
  <w:style w:type="paragraph" w:customStyle="1" w:styleId="95">
    <w:name w:val="xl92"/>
    <w:basedOn w:val="1"/>
    <w:qFormat/>
    <w:uiPriority w:val="0"/>
    <w:pPr>
      <w:shd w:val="clear" w:color="000000" w:fill="E2EFDA"/>
      <w:adjustRightInd/>
      <w:spacing w:before="100" w:beforeAutospacing="1" w:after="100" w:afterAutospacing="1" w:line="240" w:lineRule="auto"/>
      <w:ind w:firstLine="0" w:firstLineChars="0"/>
    </w:pPr>
    <w:rPr>
      <w:rFonts w:eastAsia="宋体"/>
    </w:rPr>
  </w:style>
  <w:style w:type="paragraph" w:customStyle="1" w:styleId="96">
    <w:name w:val="xl93"/>
    <w:basedOn w:val="1"/>
    <w:qFormat/>
    <w:uiPriority w:val="0"/>
    <w:pPr>
      <w:shd w:val="clear" w:color="000000" w:fill="E2EFDA"/>
      <w:adjustRightInd/>
      <w:spacing w:before="100" w:beforeAutospacing="1" w:after="100" w:afterAutospacing="1" w:line="240" w:lineRule="auto"/>
      <w:ind w:firstLine="0" w:firstLineChars="0"/>
    </w:pPr>
    <w:rPr>
      <w:rFonts w:eastAsia="宋体"/>
    </w:rPr>
  </w:style>
  <w:style w:type="paragraph" w:customStyle="1" w:styleId="97">
    <w:name w:val="xl94"/>
    <w:basedOn w:val="1"/>
    <w:qFormat/>
    <w:uiPriority w:val="0"/>
    <w:pPr>
      <w:pBdr>
        <w:left w:val="single" w:color="auto" w:sz="4" w:space="0"/>
      </w:pBdr>
      <w:adjustRightInd/>
      <w:spacing w:before="100" w:beforeAutospacing="1" w:after="100" w:afterAutospacing="1" w:line="240" w:lineRule="auto"/>
      <w:ind w:firstLine="0" w:firstLineChars="0"/>
      <w:jc w:val="center"/>
      <w:textAlignment w:val="center"/>
    </w:pPr>
    <w:rPr>
      <w:rFonts w:eastAsia="宋体"/>
      <w:sz w:val="18"/>
      <w:szCs w:val="18"/>
    </w:rPr>
  </w:style>
  <w:style w:type="paragraph" w:customStyle="1" w:styleId="98">
    <w:name w:val="xl95"/>
    <w:basedOn w:val="1"/>
    <w:qFormat/>
    <w:uiPriority w:val="0"/>
    <w:pPr>
      <w:pBdr>
        <w:bottom w:val="single" w:color="auto" w:sz="4" w:space="0"/>
      </w:pBdr>
      <w:adjustRightInd/>
      <w:spacing w:before="100" w:beforeAutospacing="1" w:after="100" w:afterAutospacing="1" w:line="240" w:lineRule="auto"/>
      <w:ind w:firstLine="0" w:firstLineChars="0"/>
      <w:jc w:val="center"/>
    </w:pPr>
    <w:rPr>
      <w:rFonts w:ascii="仿宋" w:hAnsi="仿宋"/>
      <w:sz w:val="21"/>
      <w:szCs w:val="21"/>
    </w:rPr>
  </w:style>
  <w:style w:type="paragraph" w:customStyle="1" w:styleId="99">
    <w:name w:val="xl96"/>
    <w:basedOn w:val="1"/>
    <w:qFormat/>
    <w:uiPriority w:val="0"/>
    <w:pPr>
      <w:adjustRightInd/>
      <w:spacing w:before="100" w:beforeAutospacing="1" w:after="100" w:afterAutospacing="1" w:line="240" w:lineRule="auto"/>
      <w:ind w:firstLine="0" w:firstLineChars="0"/>
      <w:jc w:val="center"/>
    </w:pPr>
    <w:rPr>
      <w:rFonts w:eastAsia="宋体"/>
    </w:rPr>
  </w:style>
  <w:style w:type="paragraph" w:customStyle="1" w:styleId="100">
    <w:name w:val="xl97"/>
    <w:basedOn w:val="1"/>
    <w:qFormat/>
    <w:uiPriority w:val="0"/>
    <w:pPr>
      <w:adjustRightInd/>
      <w:spacing w:before="100" w:beforeAutospacing="1" w:after="100" w:afterAutospacing="1" w:line="240" w:lineRule="auto"/>
      <w:ind w:firstLine="0" w:firstLineChars="0"/>
      <w:jc w:val="center"/>
      <w:textAlignment w:val="center"/>
    </w:pPr>
    <w:rPr>
      <w:rFonts w:eastAsia="宋体"/>
    </w:rPr>
  </w:style>
  <w:style w:type="paragraph" w:customStyle="1" w:styleId="101">
    <w:name w:val="xl98"/>
    <w:basedOn w:val="1"/>
    <w:qFormat/>
    <w:uiPriority w:val="0"/>
    <w:pPr>
      <w:pBdr>
        <w:bottom w:val="single" w:color="auto" w:sz="4" w:space="0"/>
      </w:pBdr>
      <w:adjustRightInd/>
      <w:spacing w:before="100" w:beforeAutospacing="1" w:after="100" w:afterAutospacing="1" w:line="240" w:lineRule="auto"/>
      <w:ind w:firstLine="0" w:firstLineChars="0"/>
      <w:jc w:val="center"/>
      <w:textAlignment w:val="center"/>
    </w:pPr>
    <w:rPr>
      <w:rFonts w:eastAsia="宋体"/>
    </w:rPr>
  </w:style>
  <w:style w:type="paragraph" w:customStyle="1" w:styleId="102">
    <w:name w:val="xl99"/>
    <w:basedOn w:val="1"/>
    <w:qFormat/>
    <w:uiPriority w:val="0"/>
    <w:pPr>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jc w:val="center"/>
      <w:textAlignment w:val="center"/>
    </w:pPr>
    <w:rPr>
      <w:rFonts w:eastAsia="宋体" w:cs="Times New Roman"/>
      <w:sz w:val="18"/>
      <w:szCs w:val="18"/>
    </w:rPr>
  </w:style>
  <w:style w:type="paragraph" w:customStyle="1" w:styleId="103">
    <w:name w:val="xl100"/>
    <w:basedOn w:val="1"/>
    <w:qFormat/>
    <w:uiPriority w:val="0"/>
    <w:pPr>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jc w:val="center"/>
      <w:textAlignment w:val="center"/>
    </w:pPr>
    <w:rPr>
      <w:rFonts w:eastAsia="宋体" w:cs="Times New Roman"/>
      <w:b/>
      <w:bCs/>
      <w:sz w:val="18"/>
      <w:szCs w:val="18"/>
    </w:rPr>
  </w:style>
  <w:style w:type="paragraph" w:customStyle="1" w:styleId="104">
    <w:name w:val="xl101"/>
    <w:basedOn w:val="1"/>
    <w:qFormat/>
    <w:uiPriority w:val="0"/>
    <w:pPr>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pPr>
    <w:rPr>
      <w:rFonts w:eastAsia="宋体"/>
    </w:rPr>
  </w:style>
  <w:style w:type="paragraph" w:customStyle="1" w:styleId="105">
    <w:name w:val="xl102"/>
    <w:basedOn w:val="1"/>
    <w:qFormat/>
    <w:uiPriority w:val="0"/>
    <w:pPr>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pPr>
    <w:rPr>
      <w:rFonts w:eastAsia="宋体"/>
    </w:rPr>
  </w:style>
  <w:style w:type="paragraph" w:customStyle="1" w:styleId="106">
    <w:name w:val="xl103"/>
    <w:basedOn w:val="1"/>
    <w:qFormat/>
    <w:uiPriority w:val="0"/>
    <w:pPr>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pPr>
    <w:rPr>
      <w:rFonts w:eastAsia="宋体"/>
    </w:rPr>
  </w:style>
  <w:style w:type="paragraph" w:customStyle="1" w:styleId="107">
    <w:name w:val="xl104"/>
    <w:basedOn w:val="1"/>
    <w:qFormat/>
    <w:uiPriority w:val="0"/>
    <w:pPr>
      <w:pBdr>
        <w:top w:val="single" w:color="auto" w:sz="4" w:space="0"/>
        <w:left w:val="single" w:color="auto" w:sz="4" w:space="0"/>
        <w:bottom w:val="single" w:color="auto" w:sz="4" w:space="0"/>
        <w:right w:val="single" w:color="auto" w:sz="4" w:space="0"/>
      </w:pBdr>
      <w:shd w:val="clear" w:color="000000" w:fill="FFFF00"/>
      <w:adjustRightInd/>
      <w:spacing w:before="100" w:beforeAutospacing="1" w:after="100" w:afterAutospacing="1" w:line="240" w:lineRule="auto"/>
      <w:ind w:firstLine="0" w:firstLineChars="0"/>
    </w:pPr>
    <w:rPr>
      <w:rFonts w:eastAsia="宋体"/>
    </w:rPr>
  </w:style>
  <w:style w:type="paragraph" w:customStyle="1" w:styleId="108">
    <w:name w:val="xl105"/>
    <w:basedOn w:val="1"/>
    <w:qFormat/>
    <w:uiPriority w:val="0"/>
    <w:pPr>
      <w:pBdr>
        <w:top w:val="single" w:color="auto" w:sz="4" w:space="0"/>
        <w:left w:val="single" w:color="auto" w:sz="4" w:space="0"/>
        <w:bottom w:val="single" w:color="auto" w:sz="4" w:space="0"/>
        <w:right w:val="single" w:color="auto" w:sz="4" w:space="0"/>
      </w:pBdr>
      <w:shd w:val="clear" w:color="000000" w:fill="FFFF00"/>
      <w:adjustRightInd/>
      <w:spacing w:before="100" w:beforeAutospacing="1" w:after="100" w:afterAutospacing="1" w:line="240" w:lineRule="auto"/>
      <w:ind w:firstLine="0" w:firstLineChars="0"/>
    </w:pPr>
    <w:rPr>
      <w:rFonts w:eastAsia="宋体"/>
    </w:rPr>
  </w:style>
  <w:style w:type="paragraph" w:customStyle="1" w:styleId="109">
    <w:name w:val="xl106"/>
    <w:basedOn w:val="1"/>
    <w:qFormat/>
    <w:uiPriority w:val="0"/>
    <w:pPr>
      <w:pBdr>
        <w:top w:val="single" w:color="auto" w:sz="4" w:space="0"/>
        <w:left w:val="single" w:color="auto" w:sz="4" w:space="0"/>
        <w:bottom w:val="single" w:color="auto" w:sz="4" w:space="0"/>
        <w:right w:val="single" w:color="auto" w:sz="4" w:space="0"/>
      </w:pBdr>
      <w:shd w:val="clear" w:color="000000" w:fill="D9E1F2"/>
      <w:adjustRightInd/>
      <w:spacing w:before="100" w:beforeAutospacing="1" w:after="100" w:afterAutospacing="1" w:line="240" w:lineRule="auto"/>
      <w:ind w:firstLine="0" w:firstLineChars="0"/>
    </w:pPr>
    <w:rPr>
      <w:rFonts w:eastAsia="宋体"/>
    </w:rPr>
  </w:style>
  <w:style w:type="paragraph" w:customStyle="1" w:styleId="110">
    <w:name w:val="xl107"/>
    <w:basedOn w:val="1"/>
    <w:qFormat/>
    <w:uiPriority w:val="0"/>
    <w:pPr>
      <w:pBdr>
        <w:top w:val="single" w:color="auto" w:sz="4" w:space="0"/>
        <w:left w:val="single" w:color="auto" w:sz="4" w:space="0"/>
        <w:bottom w:val="single" w:color="auto" w:sz="4" w:space="0"/>
        <w:right w:val="single" w:color="auto" w:sz="4" w:space="0"/>
      </w:pBdr>
      <w:shd w:val="clear" w:color="000000" w:fill="D9E1F2"/>
      <w:adjustRightInd/>
      <w:spacing w:before="100" w:beforeAutospacing="1" w:after="100" w:afterAutospacing="1" w:line="240" w:lineRule="auto"/>
      <w:ind w:firstLine="0" w:firstLineChars="0"/>
    </w:pPr>
    <w:rPr>
      <w:rFonts w:eastAsia="宋体"/>
    </w:rPr>
  </w:style>
  <w:style w:type="character" w:customStyle="1" w:styleId="111">
    <w:name w:val="headline-content2"/>
    <w:qFormat/>
    <w:uiPriority w:val="0"/>
  </w:style>
  <w:style w:type="paragraph" w:customStyle="1" w:styleId="112">
    <w:name w:val="表头：样式 五号 加粗 居中 行距: 多倍行距 1.15 字行 首行缩进:  0 字符"/>
    <w:basedOn w:val="1"/>
    <w:qFormat/>
    <w:uiPriority w:val="0"/>
    <w:pPr>
      <w:widowControl w:val="0"/>
      <w:adjustRightInd/>
      <w:spacing w:line="276" w:lineRule="auto"/>
      <w:ind w:firstLine="0" w:firstLineChars="0"/>
      <w:jc w:val="center"/>
    </w:pPr>
    <w:rPr>
      <w:rFonts w:ascii="Calibri" w:hAnsi="Calibri" w:eastAsia="宋体"/>
      <w:b/>
      <w:bCs/>
      <w:kern w:val="2"/>
      <w:sz w:val="21"/>
      <w:szCs w:val="20"/>
    </w:rPr>
  </w:style>
  <w:style w:type="paragraph" w:customStyle="1" w:styleId="113">
    <w:name w:val="正文（2分部）"/>
    <w:basedOn w:val="1"/>
    <w:qFormat/>
    <w:uiPriority w:val="0"/>
    <w:pPr>
      <w:adjustRightInd/>
      <w:spacing w:line="240" w:lineRule="auto"/>
      <w:ind w:firstLine="0" w:firstLineChars="0"/>
      <w:jc w:val="left"/>
    </w:pPr>
    <w:rPr>
      <w:rFonts w:ascii="Calibri" w:hAnsi="Calibri"/>
      <w:kern w:val="2"/>
    </w:rPr>
  </w:style>
  <w:style w:type="paragraph" w:customStyle="1" w:styleId="114">
    <w:name w:val="Table Paragraph"/>
    <w:basedOn w:val="1"/>
    <w:qFormat/>
    <w:uiPriority w:val="1"/>
    <w:pPr>
      <w:widowControl w:val="0"/>
      <w:adjustRightInd/>
      <w:spacing w:line="240" w:lineRule="auto"/>
      <w:ind w:firstLine="0" w:firstLineChars="0"/>
      <w:jc w:val="center"/>
    </w:pPr>
    <w:rPr>
      <w:rFonts w:eastAsia="Times New Roman" w:cs="Times New Roman"/>
      <w:kern w:val="2"/>
      <w:sz w:val="21"/>
      <w:szCs w:val="22"/>
      <w:lang w:val="zh-CN" w:bidi="zh-CN"/>
    </w:rPr>
  </w:style>
  <w:style w:type="paragraph" w:customStyle="1" w:styleId="115">
    <w:name w:val="标题3（新）"/>
    <w:basedOn w:val="1"/>
    <w:qFormat/>
    <w:uiPriority w:val="0"/>
    <w:pPr>
      <w:widowControl w:val="0"/>
      <w:adjustRightInd/>
      <w:spacing w:line="240" w:lineRule="auto"/>
      <w:ind w:firstLine="0" w:firstLineChars="0"/>
      <w:outlineLvl w:val="2"/>
    </w:pPr>
    <w:rPr>
      <w:rFonts w:eastAsia="黑体" w:cs="Times New Roman"/>
      <w:kern w:val="2"/>
      <w:szCs w:val="22"/>
    </w:rPr>
  </w:style>
  <w:style w:type="character" w:customStyle="1" w:styleId="116">
    <w:name w:val="批注框文本 字符"/>
    <w:basedOn w:val="28"/>
    <w:link w:val="15"/>
    <w:qFormat/>
    <w:uiPriority w:val="0"/>
    <w:rPr>
      <w:rFonts w:eastAsia="仿宋_GB2312" w:cs="宋体"/>
      <w:sz w:val="18"/>
      <w:szCs w:val="18"/>
    </w:rPr>
  </w:style>
  <w:style w:type="character" w:customStyle="1" w:styleId="117">
    <w:name w:val="font31"/>
    <w:basedOn w:val="28"/>
    <w:qFormat/>
    <w:uiPriority w:val="0"/>
    <w:rPr>
      <w:rFonts w:hint="eastAsia" w:ascii="仿宋_GB2312" w:eastAsia="仿宋_GB2312" w:cs="仿宋_GB2312"/>
      <w:color w:val="000000"/>
      <w:sz w:val="22"/>
      <w:szCs w:val="22"/>
      <w:u w:val="none"/>
    </w:rPr>
  </w:style>
  <w:style w:type="character" w:customStyle="1" w:styleId="118">
    <w:name w:val="font61"/>
    <w:basedOn w:val="28"/>
    <w:qFormat/>
    <w:uiPriority w:val="0"/>
    <w:rPr>
      <w:rFonts w:hint="eastAsia" w:ascii="仿宋_GB2312" w:eastAsia="仿宋_GB2312" w:cs="仿宋_GB2312"/>
      <w:color w:val="000000"/>
      <w:sz w:val="20"/>
      <w:szCs w:val="20"/>
      <w:u w:val="none"/>
      <w:vertAlign w:val="superscript"/>
    </w:rPr>
  </w:style>
  <w:style w:type="character" w:customStyle="1" w:styleId="119">
    <w:name w:val="font71"/>
    <w:basedOn w:val="28"/>
    <w:qFormat/>
    <w:uiPriority w:val="0"/>
    <w:rPr>
      <w:rFonts w:hint="eastAsia" w:ascii="仿宋_GB2312" w:eastAsia="仿宋_GB2312" w:cs="仿宋_GB2312"/>
      <w:color w:val="000000"/>
      <w:sz w:val="20"/>
      <w:szCs w:val="20"/>
      <w:u w:val="none"/>
      <w:vertAlign w:val="superscript"/>
    </w:rPr>
  </w:style>
  <w:style w:type="character" w:customStyle="1" w:styleId="120">
    <w:name w:val="font101"/>
    <w:basedOn w:val="28"/>
    <w:qFormat/>
    <w:uiPriority w:val="0"/>
    <w:rPr>
      <w:rFonts w:hint="eastAsia" w:ascii="仿宋_GB2312" w:eastAsia="仿宋_GB2312" w:cs="仿宋_GB2312"/>
      <w:color w:val="000000"/>
      <w:sz w:val="20"/>
      <w:szCs w:val="20"/>
      <w:u w:val="none"/>
      <w:vertAlign w:val="superscript"/>
    </w:rPr>
  </w:style>
  <w:style w:type="character" w:customStyle="1" w:styleId="121">
    <w:name w:val="font91"/>
    <w:basedOn w:val="28"/>
    <w:qFormat/>
    <w:uiPriority w:val="0"/>
    <w:rPr>
      <w:rFonts w:hint="eastAsia" w:ascii="宋体" w:hAnsi="宋体" w:eastAsia="宋体" w:cs="宋体"/>
      <w:color w:val="000000"/>
      <w:sz w:val="18"/>
      <w:szCs w:val="18"/>
      <w:u w:val="none"/>
      <w:vertAlign w:val="superscript"/>
    </w:rPr>
  </w:style>
  <w:style w:type="character" w:customStyle="1" w:styleId="122">
    <w:name w:val="未处理的提及3"/>
    <w:basedOn w:val="28"/>
    <w:semiHidden/>
    <w:unhideWhenUsed/>
    <w:qFormat/>
    <w:uiPriority w:val="99"/>
    <w:rPr>
      <w:color w:val="605E5C"/>
      <w:shd w:val="clear" w:color="auto" w:fill="E1DFDD"/>
    </w:rPr>
  </w:style>
  <w:style w:type="character" w:customStyle="1" w:styleId="123">
    <w:name w:val="复垦正文 Char"/>
    <w:link w:val="124"/>
    <w:uiPriority w:val="0"/>
    <w:rPr>
      <w:rFonts w:eastAsia="仿宋_GB2312"/>
      <w:sz w:val="24"/>
      <w:szCs w:val="21"/>
      <w:lang w:bidi="en-US"/>
    </w:rPr>
  </w:style>
  <w:style w:type="paragraph" w:customStyle="1" w:styleId="124">
    <w:name w:val="复垦正文"/>
    <w:basedOn w:val="1"/>
    <w:link w:val="123"/>
    <w:qFormat/>
    <w:uiPriority w:val="0"/>
    <w:pPr>
      <w:widowControl w:val="0"/>
      <w:adjustRightInd/>
      <w:snapToGrid w:val="0"/>
      <w:ind w:firstLine="1040"/>
      <w:jc w:val="left"/>
    </w:pPr>
    <w:rPr>
      <w:rFonts w:cs="Times New Roman"/>
      <w:szCs w:val="21"/>
      <w:lang w:bidi="en-US"/>
    </w:rPr>
  </w:style>
  <w:style w:type="character" w:customStyle="1" w:styleId="125">
    <w:name w:val="正文文本 字符"/>
    <w:basedOn w:val="28"/>
    <w:link w:val="8"/>
    <w:semiHidden/>
    <w:qFormat/>
    <w:uiPriority w:val="0"/>
    <w:rPr>
      <w:rFonts w:eastAsia="仿宋_GB2312" w:cs="宋体"/>
      <w:sz w:val="24"/>
      <w:szCs w:val="24"/>
    </w:rPr>
  </w:style>
  <w:style w:type="character" w:customStyle="1" w:styleId="126">
    <w:name w:val="表格 Char"/>
    <w:link w:val="44"/>
    <w:locked/>
    <w:uiPriority w:val="0"/>
    <w:rPr>
      <w:rFonts w:eastAsia="仿宋_GB2312"/>
      <w:color w:val="000000"/>
      <w:sz w:val="21"/>
    </w:rPr>
  </w:style>
  <w:style w:type="paragraph" w:customStyle="1" w:styleId="127">
    <w:name w:val="表格龙"/>
    <w:basedOn w:val="1"/>
    <w:qFormat/>
    <w:uiPriority w:val="0"/>
    <w:pPr>
      <w:autoSpaceDE w:val="0"/>
      <w:autoSpaceDN w:val="0"/>
      <w:adjustRightInd/>
      <w:spacing w:line="240" w:lineRule="auto"/>
      <w:ind w:firstLine="0" w:firstLineChars="0"/>
    </w:pPr>
    <w:rPr>
      <w:rFonts w:eastAsia="宋体" w:cs="Times New Roman"/>
      <w:sz w:val="21"/>
      <w:szCs w:val="21"/>
    </w:rPr>
  </w:style>
  <w:style w:type="paragraph" w:customStyle="1" w:styleId="128">
    <w:name w:val="姚a)"/>
    <w:basedOn w:val="1"/>
    <w:qFormat/>
    <w:uiPriority w:val="0"/>
    <w:pPr>
      <w:widowControl w:val="0"/>
      <w:adjustRightInd/>
      <w:snapToGrid w:val="0"/>
      <w:jc w:val="left"/>
    </w:pPr>
    <w:rPr>
      <w:rFonts w:ascii="仿宋_GB2312" w:hAnsi="宋体"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1623</Words>
  <Characters>9254</Characters>
  <Lines>77</Lines>
  <Paragraphs>21</Paragraphs>
  <TotalTime>7</TotalTime>
  <ScaleCrop>false</ScaleCrop>
  <LinksUpToDate>false</LinksUpToDate>
  <CharactersWithSpaces>10856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2023-12-12T06:01:00Z</dcterms:created>
  <dc:creator>83635</dc:creator>
  <cp:lastModifiedBy>Lenovo</cp:lastModifiedBy>
  <cp:lastPrinted>2022-10-14T15:42:00Z</cp:lastPrinted>
  <dcterms:modified xsi:type="dcterms:W3CDTF">2023-12-13T03:33:47Z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4F4C27BE6D9A43EA8750EF308A3C5325</vt:lpwstr>
  </property>
</Properties>
</file>