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insoku w:val="0"/>
        <w:overflowPunct w:val="0"/>
        <w:spacing w:line="360" w:lineRule="auto"/>
        <w:ind w:right="731"/>
        <w:jc w:val="center"/>
        <w:rPr>
          <w:sz w:val="30"/>
          <w:szCs w:val="30"/>
        </w:rPr>
      </w:pPr>
      <w:r>
        <w:rPr>
          <w:rFonts w:hint="eastAsia"/>
          <w:sz w:val="30"/>
          <w:szCs w:val="30"/>
        </w:rPr>
        <w:t>清水海净配水工程原水管线机场段改迁工程临时</w:t>
      </w:r>
      <w:bookmarkStart w:id="0" w:name="_GoBack"/>
      <w:bookmarkEnd w:id="0"/>
      <w:r>
        <w:rPr>
          <w:rFonts w:hint="eastAsia"/>
          <w:sz w:val="30"/>
          <w:szCs w:val="30"/>
        </w:rPr>
        <w:t>用地土地复垦方案专家组评审意见表</w:t>
      </w:r>
    </w:p>
    <w:tbl>
      <w:tblPr>
        <w:tblStyle w:val="9"/>
        <w:tblW w:w="834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2114"/>
        <w:gridCol w:w="1125"/>
        <w:gridCol w:w="989"/>
        <w:gridCol w:w="33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36" w:hRule="atLeast"/>
        </w:trPr>
        <w:tc>
          <w:tcPr>
            <w:tcW w:w="2924" w:type="dxa"/>
            <w:gridSpan w:val="2"/>
            <w:shd w:val="clear" w:color="auto" w:fill="auto"/>
            <w:vAlign w:val="center"/>
          </w:tcPr>
          <w:p>
            <w:pPr>
              <w:widowControl/>
              <w:ind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生产（建设）项目名称</w:t>
            </w:r>
          </w:p>
        </w:tc>
        <w:tc>
          <w:tcPr>
            <w:tcW w:w="5425" w:type="dxa"/>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清水海净配水工程原水管线机场段改迁工程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36" w:hRule="atLeast"/>
        </w:trPr>
        <w:tc>
          <w:tcPr>
            <w:tcW w:w="2924" w:type="dxa"/>
            <w:gridSpan w:val="2"/>
            <w:shd w:val="clear" w:color="auto" w:fill="auto"/>
            <w:vAlign w:val="center"/>
          </w:tcPr>
          <w:p>
            <w:pPr>
              <w:widowControl/>
              <w:ind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生产（建设）单位名称</w:t>
            </w:r>
          </w:p>
        </w:tc>
        <w:tc>
          <w:tcPr>
            <w:tcW w:w="5425" w:type="dxa"/>
            <w:gridSpan w:val="3"/>
            <w:shd w:val="clear" w:color="auto" w:fill="auto"/>
            <w:vAlign w:val="center"/>
          </w:tcPr>
          <w:p>
            <w:pPr>
              <w:widowControl/>
              <w:ind w:firstLine="960" w:firstLineChars="4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昆明市自来水集团有限公司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2924" w:type="dxa"/>
            <w:gridSpan w:val="2"/>
            <w:shd w:val="clear" w:color="auto" w:fill="auto"/>
            <w:vAlign w:val="center"/>
          </w:tcPr>
          <w:p>
            <w:pPr>
              <w:widowControl/>
              <w:ind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方案编制单位名称</w:t>
            </w:r>
          </w:p>
        </w:tc>
        <w:tc>
          <w:tcPr>
            <w:tcW w:w="5425" w:type="dxa"/>
            <w:gridSpan w:val="3"/>
            <w:shd w:val="clear" w:color="auto" w:fill="auto"/>
            <w:vAlign w:val="center"/>
          </w:tcPr>
          <w:p>
            <w:pPr>
              <w:widowControl/>
              <w:ind w:firstLine="960" w:firstLineChars="4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昆明根苑土地技术咨询有限公司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27" w:hRule="atLeast"/>
        </w:trPr>
        <w:tc>
          <w:tcPr>
            <w:tcW w:w="2924" w:type="dxa"/>
            <w:gridSpan w:val="2"/>
            <w:vMerge w:val="restart"/>
            <w:shd w:val="clear" w:color="auto" w:fill="auto"/>
            <w:vAlign w:val="center"/>
          </w:tcPr>
          <w:p>
            <w:pPr>
              <w:ind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复垦责任区范围面积</w:t>
            </w:r>
          </w:p>
        </w:tc>
        <w:tc>
          <w:tcPr>
            <w:tcW w:w="2114" w:type="dxa"/>
            <w:gridSpan w:val="2"/>
            <w:shd w:val="clear" w:color="auto" w:fill="auto"/>
            <w:vAlign w:val="center"/>
          </w:tcPr>
          <w:p>
            <w:pPr>
              <w:widowControl/>
              <w:ind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占用土地面积</w:t>
            </w:r>
          </w:p>
        </w:tc>
        <w:tc>
          <w:tcPr>
            <w:tcW w:w="3311" w:type="dxa"/>
            <w:shd w:val="clear" w:color="auto" w:fill="auto"/>
            <w:vAlign w:val="center"/>
          </w:tcPr>
          <w:p>
            <w:pPr>
              <w:widowControl/>
              <w:ind w:firstLine="720" w:firstLineChars="3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0.8115公顷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1" w:hRule="atLeast"/>
        </w:trPr>
        <w:tc>
          <w:tcPr>
            <w:tcW w:w="2924" w:type="dxa"/>
            <w:gridSpan w:val="2"/>
            <w:vMerge w:val="continue"/>
            <w:shd w:val="clear" w:color="auto" w:fill="auto"/>
            <w:vAlign w:val="center"/>
          </w:tcPr>
          <w:p>
            <w:pPr>
              <w:widowControl/>
              <w:ind w:firstLine="240" w:firstLineChars="100"/>
              <w:jc w:val="left"/>
              <w:rPr>
                <w:rFonts w:ascii="Times New Roman" w:hAnsi="Times New Roman" w:eastAsia="仿宋_GB2312" w:cs="Times New Roman"/>
                <w:kern w:val="0"/>
                <w:sz w:val="24"/>
                <w:szCs w:val="24"/>
              </w:rPr>
            </w:pPr>
          </w:p>
        </w:tc>
        <w:tc>
          <w:tcPr>
            <w:tcW w:w="2114" w:type="dxa"/>
            <w:gridSpan w:val="2"/>
            <w:shd w:val="clear" w:color="auto" w:fill="auto"/>
            <w:vAlign w:val="center"/>
          </w:tcPr>
          <w:p>
            <w:pPr>
              <w:widowControl/>
              <w:ind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损毁土地面积</w:t>
            </w:r>
          </w:p>
        </w:tc>
        <w:tc>
          <w:tcPr>
            <w:tcW w:w="3311" w:type="dxa"/>
            <w:shd w:val="clear" w:color="auto" w:fill="auto"/>
            <w:vAlign w:val="center"/>
          </w:tcPr>
          <w:p>
            <w:pPr>
              <w:widowControl/>
              <w:ind w:firstLine="720" w:firstLineChars="30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19.6810</w:t>
            </w:r>
            <w:r>
              <w:rPr>
                <w:rFonts w:ascii="Times New Roman" w:hAnsi="Times New Roman" w:eastAsia="仿宋_GB2312" w:cs="Times New Roman"/>
                <w:kern w:val="0"/>
                <w:sz w:val="24"/>
                <w:szCs w:val="24"/>
              </w:rPr>
              <w:t>公顷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40" w:hRule="atLeast"/>
        </w:trPr>
        <w:tc>
          <w:tcPr>
            <w:tcW w:w="4049" w:type="dxa"/>
            <w:gridSpan w:val="3"/>
            <w:shd w:val="clear" w:color="auto" w:fill="auto"/>
            <w:vAlign w:val="center"/>
          </w:tcPr>
          <w:p>
            <w:pPr>
              <w:widowControl/>
              <w:ind w:firstLine="960" w:firstLineChars="4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生产能力（或投资规模)</w:t>
            </w:r>
          </w:p>
        </w:tc>
        <w:tc>
          <w:tcPr>
            <w:tcW w:w="4300" w:type="dxa"/>
            <w:gridSpan w:val="2"/>
            <w:shd w:val="clear" w:color="auto" w:fill="auto"/>
            <w:vAlign w:val="center"/>
          </w:tcPr>
          <w:p>
            <w:pPr>
              <w:widowControl/>
              <w:ind w:firstLine="1200" w:firstLineChars="5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76535.28万元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34" w:hRule="atLeast"/>
        </w:trPr>
        <w:tc>
          <w:tcPr>
            <w:tcW w:w="4049" w:type="dxa"/>
            <w:gridSpan w:val="3"/>
            <w:shd w:val="clear" w:color="auto" w:fill="auto"/>
            <w:vAlign w:val="center"/>
          </w:tcPr>
          <w:p>
            <w:pPr>
              <w:widowControl/>
              <w:ind w:firstLine="960" w:firstLineChars="4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生产年限（或建设期限)</w:t>
            </w:r>
          </w:p>
        </w:tc>
        <w:tc>
          <w:tcPr>
            <w:tcW w:w="4300" w:type="dxa"/>
            <w:gridSpan w:val="2"/>
            <w:shd w:val="clear" w:color="auto" w:fill="auto"/>
            <w:vAlign w:val="center"/>
          </w:tcPr>
          <w:p>
            <w:pPr>
              <w:widowControl/>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2023 年12月至2025年11月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806" w:hRule="atLeast"/>
        </w:trPr>
        <w:tc>
          <w:tcPr>
            <w:tcW w:w="810" w:type="dxa"/>
            <w:shd w:val="clear" w:color="auto" w:fill="auto"/>
            <w:vAlign w:val="center"/>
          </w:tcPr>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专家评审结论</w:t>
            </w: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专家评审结论</w:t>
            </w: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专家评审结论</w:t>
            </w: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kern w:val="0"/>
                <w:sz w:val="24"/>
                <w:szCs w:val="24"/>
              </w:rPr>
            </w:pPr>
          </w:p>
        </w:tc>
        <w:tc>
          <w:tcPr>
            <w:tcW w:w="7539" w:type="dxa"/>
            <w:gridSpan w:val="4"/>
            <w:shd w:val="clear" w:color="auto" w:fill="auto"/>
            <w:vAlign w:val="center"/>
          </w:tcPr>
          <w:p>
            <w:pPr>
              <w:pStyle w:val="13"/>
              <w:kinsoku w:val="0"/>
              <w:overflowPunct w:val="0"/>
              <w:spacing w:before="120" w:line="381" w:lineRule="auto"/>
              <w:ind w:left="103" w:right="101" w:firstLine="480" w:firstLineChars="200"/>
              <w:jc w:val="both"/>
              <w:rPr>
                <w:rFonts w:eastAsia="仿宋_GB2312"/>
              </w:rPr>
            </w:pPr>
            <w:r>
              <w:rPr>
                <w:rFonts w:eastAsia="仿宋_GB2312"/>
              </w:rPr>
              <w:t>根据国土资源部国土资〔2007〕81号文“关于组织土地复垦方案编制和审查有关问题的通知”、国务院592号令《土地复垦条例》、《土地复垦条列实施办法》、《土地复垦质量控制标准》及土地开发整理工程建设标准和土地复垦相关规程，滇中新区自然资源和规划局于2023年11月24日在昆明组织专家对昆明根苑土地技术咨询有限公司编制的“清水海净配水工程原水管线机场段改迁工程临时用地土地复垦方案报告书”进行了评审，形成如下评审意见：</w:t>
            </w:r>
          </w:p>
          <w:p>
            <w:pPr>
              <w:pStyle w:val="13"/>
              <w:kinsoku w:val="0"/>
              <w:overflowPunct w:val="0"/>
              <w:spacing w:before="120" w:line="381" w:lineRule="auto"/>
              <w:ind w:left="103" w:right="101" w:firstLine="480" w:firstLineChars="200"/>
              <w:jc w:val="both"/>
              <w:rPr>
                <w:rFonts w:eastAsia="仿宋_GB2312"/>
              </w:rPr>
            </w:pPr>
            <w:r>
              <w:rPr>
                <w:rFonts w:eastAsia="仿宋_GB2312"/>
              </w:rPr>
              <w:t>一、本土地复垦方案报告书编制格式基本符合要求；提出的土地复垦工程措施和生物措施基本可行；复垦费用估算依基本合理，可作为指导企业开展土地复垦工作的依据</w:t>
            </w:r>
          </w:p>
          <w:p>
            <w:pPr>
              <w:pStyle w:val="13"/>
              <w:kinsoku w:val="0"/>
              <w:overflowPunct w:val="0"/>
              <w:spacing w:before="120" w:line="381" w:lineRule="auto"/>
              <w:ind w:left="103" w:right="101" w:firstLine="480" w:firstLineChars="200"/>
              <w:jc w:val="both"/>
              <w:rPr>
                <w:rFonts w:eastAsia="仿宋_GB2312"/>
                <w:kern w:val="2"/>
              </w:rPr>
            </w:pPr>
            <w:r>
              <w:rPr>
                <w:rFonts w:eastAsia="仿宋_GB2312"/>
              </w:rPr>
              <w:t>二、清水海净配水工程原水管线机场段改迁工程建设项目位于滇中新区长水街道，小哨街道境内，项目区土地总面积（复垦区）19.6810公顷，其中耕地4.5481公顷，占项目区总面积的23.11%；林地10.6951公顷，占项目区总面积的54.348%；园地1.3749公顷，占项目区总面积的6.99%；草地1.6305公顷，占项目区总面积的8.28%；水域及水利设</w:t>
            </w:r>
            <w:r>
              <w:rPr>
                <w:rFonts w:eastAsia="仿宋_GB2312"/>
                <w:kern w:val="2"/>
              </w:rPr>
              <w:t>施用地0.0214公顷，占项目区总面积的0.11%；交通运输用地0.7784公顷，占项目区总面积的3.96%；其他土地0.6326公顷，占项目区总面积的3.21%。土地复垦服务年限为2023年12月至2029年11月。</w:t>
            </w:r>
          </w:p>
          <w:p>
            <w:pPr>
              <w:pStyle w:val="13"/>
              <w:kinsoku w:val="0"/>
              <w:overflowPunct w:val="0"/>
              <w:spacing w:before="120" w:line="381" w:lineRule="auto"/>
              <w:ind w:left="103" w:right="101" w:firstLine="480" w:firstLineChars="200"/>
              <w:jc w:val="both"/>
              <w:rPr>
                <w:rFonts w:eastAsia="仿宋_GB2312"/>
                <w:kern w:val="2"/>
              </w:rPr>
            </w:pPr>
            <w:r>
              <w:rPr>
                <w:rFonts w:eastAsia="仿宋_GB2312"/>
                <w:kern w:val="2"/>
              </w:rPr>
              <w:t>三、原则同意报告书中关于清水海净配水工程原水管线机场段改迁工程建设项目损毁土地的预测和分析。本项目损毁土地方式主要为压占，复垦责任范围内损毁土地面积19.6810公顷，损毁面积中拟损毁土地面积19.6810公顷。</w:t>
            </w:r>
          </w:p>
          <w:p>
            <w:pPr>
              <w:pStyle w:val="13"/>
              <w:kinsoku w:val="0"/>
              <w:overflowPunct w:val="0"/>
              <w:spacing w:before="120" w:line="381" w:lineRule="auto"/>
              <w:ind w:left="103" w:right="101" w:firstLine="480" w:firstLineChars="200"/>
              <w:jc w:val="both"/>
              <w:rPr>
                <w:rFonts w:eastAsia="仿宋_GB2312"/>
                <w:kern w:val="2"/>
              </w:rPr>
            </w:pPr>
            <w:r>
              <w:rPr>
                <w:rFonts w:eastAsia="仿宋_GB2312"/>
                <w:kern w:val="2"/>
              </w:rPr>
              <w:t>四、原则同意本项目制定的复垦目标和任务，土地复垦适宜性评价过程和结果基本可信。本项目共复垦土地18.8695公顷，耕地6.5039公顷（旱地5.1917公顷，水浇地1.3122公顷）、乔木林地10.7162公顷，田坎0.2745公顷，果园1.3749公顷。保留农村道路0.7784公顷，沟渠0.0331公顷。</w:t>
            </w:r>
          </w:p>
          <w:p>
            <w:pPr>
              <w:pStyle w:val="13"/>
              <w:kinsoku w:val="0"/>
              <w:overflowPunct w:val="0"/>
              <w:spacing w:before="120" w:line="381" w:lineRule="auto"/>
              <w:ind w:left="103" w:right="101" w:firstLine="480" w:firstLineChars="200"/>
              <w:jc w:val="both"/>
              <w:rPr>
                <w:rFonts w:eastAsia="仿宋_GB2312"/>
                <w:kern w:val="2"/>
              </w:rPr>
            </w:pPr>
            <w:r>
              <w:rPr>
                <w:rFonts w:eastAsia="仿宋_GB2312"/>
                <w:kern w:val="2"/>
              </w:rPr>
              <w:t>五、原则同意报告书提出的土地复垦标准、工程设计及工程量测算。在具体实施过程中，要进一步加强并细化复垦工程设计，明确施工过程中的具体参数，增加方案的可操作性。</w:t>
            </w:r>
          </w:p>
          <w:p>
            <w:pPr>
              <w:pStyle w:val="13"/>
              <w:kinsoku w:val="0"/>
              <w:overflowPunct w:val="0"/>
              <w:spacing w:before="120" w:line="381" w:lineRule="auto"/>
              <w:ind w:left="103" w:right="101" w:firstLine="480" w:firstLineChars="200"/>
              <w:jc w:val="both"/>
              <w:rPr>
                <w:rFonts w:eastAsia="仿宋_GB2312"/>
              </w:rPr>
            </w:pPr>
            <w:r>
              <w:rPr>
                <w:rFonts w:eastAsia="仿宋_GB2312"/>
                <w:kern w:val="2"/>
              </w:rPr>
              <w:t>六、原则同意土地复垦投资估算结果。该项目静态投资398.81万元，动态总投资452.00万元。经计算复垦土地静态亩均投资为1.35万元，动态亩均投资为1.53万元。业主单位要进一步明确土地复垦费用从建设或生产成本中提取，加大土地复垦前期提取额度，并根据复垦工作安排制定土地复垦计划，采取有效措施保障复垦费专款专用。费用不足的，要及时足额追加投资，确保土地复垦工作的顺利进行</w:t>
            </w:r>
            <w:r>
              <w:rPr>
                <w:rFonts w:eastAsia="仿宋_GB2312"/>
              </w:rPr>
              <w:t>。</w:t>
            </w:r>
          </w:p>
          <w:p>
            <w:pPr>
              <w:pStyle w:val="4"/>
              <w:autoSpaceDE/>
              <w:autoSpaceDN/>
              <w:adjustRightInd/>
              <w:spacing w:line="360" w:lineRule="auto"/>
              <w:ind w:left="0" w:firstLine="488" w:firstLineChars="200"/>
              <w:jc w:val="both"/>
              <w:rPr>
                <w:rFonts w:eastAsia="仿宋_GB2312"/>
                <w:w w:val="102"/>
                <w:sz w:val="24"/>
              </w:rPr>
            </w:pPr>
            <w:r>
              <w:rPr>
                <w:rFonts w:eastAsia="仿宋_GB2312"/>
                <w:w w:val="102"/>
                <w:sz w:val="24"/>
              </w:rPr>
              <w:t>综上所述，该复垦方案的编制基本符合有关文件及土地复垦技术规范、标准的要求，相关分析依据充分，结论基本准确，采取的预防措施、工程技术措施基本可行，复垦投资估算结果基本准确，拟定的复垦工作计划基本合理。专家组原则同意通过评审，需尽快按与会专家提出的修改意见补充完善，并按规定程序上报备案。如项目性质、规模、地点、范围或生产工艺等发生重大变化，需按相关规定和要求</w:t>
            </w:r>
          </w:p>
          <w:p>
            <w:pPr>
              <w:pStyle w:val="4"/>
              <w:autoSpaceDE/>
              <w:autoSpaceDN/>
              <w:adjustRightInd/>
              <w:spacing w:line="360" w:lineRule="auto"/>
              <w:ind w:left="0" w:firstLine="0" w:firstLineChars="0"/>
              <w:jc w:val="both"/>
              <w:rPr>
                <w:rFonts w:eastAsia="仿宋_GB2312"/>
              </w:rPr>
            </w:pPr>
            <w:r>
              <w:rPr>
                <w:rFonts w:eastAsia="仿宋_GB2312"/>
                <w:sz w:val="24"/>
              </w:rPr>
              <w:t>重新组织编报土地复垦方案或对原土地复垦方案进行修订，报原审查单位审查并备案。请项目业主单位抓紧与项目所在地国土资源管理部门签订土地复垦资金监管协议，明确土地复垦资金提取计划、开展土地复垦工作计划并按要求定期向上级自然资源主管部门报告土地复垦资金提取使用和土地复垦实施情况，接受各级自然资源管理部门的监督和检查。复垦方案审查意见不能代替临时用地审批，用地单位需按照要求及时办理临时用地手续。</w:t>
            </w:r>
          </w:p>
          <w:p>
            <w:pPr>
              <w:widowControl/>
              <w:rPr>
                <w:rFonts w:ascii="Times New Roman" w:hAnsi="Times New Roman" w:eastAsia="仿宋_GB2312" w:cs="Times New Roman"/>
                <w:kern w:val="0"/>
                <w:sz w:val="24"/>
                <w:szCs w:val="24"/>
              </w:rPr>
            </w:pPr>
          </w:p>
          <w:p>
            <w:pPr>
              <w:widowControl/>
              <w:rPr>
                <w:rFonts w:ascii="Times New Roman" w:hAnsi="Times New Roman" w:eastAsia="仿宋_GB2312" w:cs="Times New Roman"/>
                <w:kern w:val="0"/>
                <w:sz w:val="24"/>
                <w:szCs w:val="24"/>
              </w:rPr>
            </w:pPr>
          </w:p>
          <w:p>
            <w:pPr>
              <w:widowControl/>
              <w:rPr>
                <w:rFonts w:hint="default" w:ascii="Times New Roman" w:hAnsi="Times New Roman" w:eastAsia="仿宋_GB2312" w:cs="Times New Roman"/>
                <w:kern w:val="0"/>
                <w:sz w:val="24"/>
                <w:szCs w:val="24"/>
                <w:lang w:val="en-US" w:eastAsia="zh-CN"/>
              </w:rPr>
            </w:pPr>
            <w:r>
              <w:rPr>
                <w:rFonts w:ascii="Times New Roman" w:hAnsi="Times New Roman" w:eastAsia="仿宋_GB2312" w:cs="Times New Roman"/>
                <w:kern w:val="0"/>
                <w:sz w:val="24"/>
                <w:szCs w:val="24"/>
              </w:rPr>
              <w:t>专家组组员签字：</w:t>
            </w:r>
            <w:r>
              <w:rPr>
                <w:rFonts w:hint="eastAsia" w:ascii="Times New Roman" w:hAnsi="Times New Roman" w:eastAsia="仿宋_GB2312" w:cs="Times New Roman"/>
                <w:kern w:val="0"/>
                <w:sz w:val="24"/>
                <w:szCs w:val="24"/>
                <w:lang w:val="en-US" w:eastAsia="zh-CN"/>
              </w:rPr>
              <w:t>章正军</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 xml:space="preserve">                                    年    月    日</w:t>
            </w:r>
          </w:p>
        </w:tc>
      </w:tr>
    </w:tbl>
    <w:p>
      <w:pPr>
        <w:jc w:val="center"/>
        <w:rPr>
          <w:rFonts w:hint="eastAsia" w:ascii="黑体" w:eastAsia="黑体" w:cs="黑体"/>
          <w:spacing w:val="-1"/>
          <w:sz w:val="28"/>
          <w:szCs w:val="28"/>
        </w:rPr>
      </w:pPr>
    </w:p>
    <w:p>
      <w:pPr>
        <w:jc w:val="center"/>
        <w:rPr>
          <w:rFonts w:ascii="黑体" w:eastAsia="黑体" w:cs="黑体"/>
          <w:sz w:val="28"/>
          <w:szCs w:val="28"/>
        </w:rPr>
      </w:pPr>
      <w:r>
        <w:rPr>
          <w:rFonts w:hint="eastAsia" w:ascii="黑体" w:eastAsia="黑体" w:cs="黑体"/>
          <w:spacing w:val="-1"/>
          <w:sz w:val="28"/>
          <w:szCs w:val="28"/>
        </w:rPr>
        <w:t>清水海净配水工程原水管线机场段改迁工程临时用地土地复垦方案</w:t>
      </w:r>
      <w:r>
        <w:rPr>
          <w:rFonts w:ascii="黑体" w:eastAsia="黑体" w:cs="黑体"/>
          <w:spacing w:val="-120"/>
          <w:sz w:val="28"/>
          <w:szCs w:val="28"/>
        </w:rPr>
        <w:t xml:space="preserve"> </w:t>
      </w:r>
      <w:r>
        <w:rPr>
          <w:rFonts w:hint="eastAsia" w:ascii="黑体" w:eastAsia="黑体" w:cs="黑体"/>
          <w:sz w:val="28"/>
          <w:szCs w:val="28"/>
        </w:rPr>
        <w:t>专家组名单</w:t>
      </w:r>
    </w:p>
    <w:tbl>
      <w:tblPr>
        <w:tblStyle w:val="9"/>
        <w:tblW w:w="827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95"/>
        <w:gridCol w:w="3936"/>
        <w:gridCol w:w="26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61" w:hRule="exact"/>
          <w:jc w:val="center"/>
        </w:trPr>
        <w:tc>
          <w:tcPr>
            <w:tcW w:w="1695" w:type="dxa"/>
            <w:vAlign w:val="center"/>
          </w:tcPr>
          <w:p>
            <w:pPr>
              <w:pStyle w:val="13"/>
              <w:tabs>
                <w:tab w:val="left" w:pos="971"/>
              </w:tabs>
              <w:kinsoku w:val="0"/>
              <w:overflowPunct w:val="0"/>
              <w:jc w:val="center"/>
            </w:pPr>
            <w:r>
              <w:rPr>
                <w:rFonts w:hint="eastAsia" w:ascii="仿宋_GB2312" w:eastAsia="仿宋_GB2312" w:cs="仿宋_GB2312"/>
              </w:rPr>
              <w:t>姓</w:t>
            </w:r>
            <w:r>
              <w:rPr>
                <w:rFonts w:ascii="仿宋_GB2312" w:eastAsia="仿宋_GB2312" w:cs="仿宋_GB2312"/>
              </w:rPr>
              <w:tab/>
            </w:r>
            <w:r>
              <w:rPr>
                <w:rFonts w:hint="eastAsia" w:ascii="仿宋_GB2312" w:eastAsia="仿宋_GB2312" w:cs="仿宋_GB2312"/>
              </w:rPr>
              <w:t>名</w:t>
            </w:r>
          </w:p>
        </w:tc>
        <w:tc>
          <w:tcPr>
            <w:tcW w:w="3936" w:type="dxa"/>
            <w:vAlign w:val="center"/>
          </w:tcPr>
          <w:p>
            <w:pPr>
              <w:pStyle w:val="13"/>
              <w:kinsoku w:val="0"/>
              <w:overflowPunct w:val="0"/>
              <w:jc w:val="center"/>
            </w:pPr>
            <w:r>
              <w:rPr>
                <w:rFonts w:hint="eastAsia" w:ascii="仿宋_GB2312" w:eastAsia="仿宋_GB2312" w:cs="仿宋_GB2312"/>
              </w:rPr>
              <w:t>工作单位</w:t>
            </w:r>
          </w:p>
        </w:tc>
        <w:tc>
          <w:tcPr>
            <w:tcW w:w="2645" w:type="dxa"/>
            <w:vAlign w:val="center"/>
          </w:tcPr>
          <w:p>
            <w:pPr>
              <w:pStyle w:val="13"/>
              <w:kinsoku w:val="0"/>
              <w:overflowPunct w:val="0"/>
              <w:ind w:left="871"/>
            </w:pPr>
            <w:r>
              <w:rPr>
                <w:rFonts w:hint="eastAsia" w:ascii="仿宋_GB2312" w:eastAsia="仿宋_GB2312" w:cs="仿宋_GB2312"/>
              </w:rPr>
              <w:t>职称</w:t>
            </w:r>
            <w:r>
              <w:rPr>
                <w:rFonts w:ascii="仿宋_GB2312" w:eastAsia="仿宋_GB2312" w:cs="仿宋_GB2312"/>
              </w:rPr>
              <w:t>/</w:t>
            </w:r>
            <w:r>
              <w:rPr>
                <w:rFonts w:hint="eastAsia" w:ascii="仿宋_GB2312" w:eastAsia="仿宋_GB2312" w:cs="仿宋_GB2312"/>
              </w:rPr>
              <w:t>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75" w:hRule="exact"/>
          <w:jc w:val="center"/>
        </w:trPr>
        <w:tc>
          <w:tcPr>
            <w:tcW w:w="1695" w:type="dxa"/>
            <w:vAlign w:val="center"/>
          </w:tcPr>
          <w:p>
            <w:pPr>
              <w:pStyle w:val="13"/>
              <w:kinsoku w:val="0"/>
              <w:overflowPunct w:val="0"/>
              <w:spacing w:before="106"/>
              <w:jc w:val="center"/>
            </w:pPr>
            <w:r>
              <w:rPr>
                <w:rFonts w:hint="eastAsia" w:ascii="仿宋_GB2312" w:eastAsia="仿宋_GB2312" w:cs="仿宋_GB2312"/>
              </w:rPr>
              <w:t>章正军</w:t>
            </w:r>
          </w:p>
        </w:tc>
        <w:tc>
          <w:tcPr>
            <w:tcW w:w="3936" w:type="dxa"/>
            <w:vAlign w:val="center"/>
          </w:tcPr>
          <w:p>
            <w:pPr>
              <w:pStyle w:val="13"/>
              <w:kinsoku w:val="0"/>
              <w:overflowPunct w:val="0"/>
              <w:spacing w:before="106"/>
              <w:jc w:val="center"/>
            </w:pPr>
            <w:r>
              <w:rPr>
                <w:rFonts w:hint="eastAsia" w:ascii="仿宋_GB2312" w:eastAsia="仿宋_GB2312" w:cs="仿宋_GB2312"/>
              </w:rPr>
              <w:t>云南省自然资源厅国土规划整理中心</w:t>
            </w:r>
          </w:p>
        </w:tc>
        <w:tc>
          <w:tcPr>
            <w:tcW w:w="2645" w:type="dxa"/>
            <w:vAlign w:val="center"/>
          </w:tcPr>
          <w:p>
            <w:pPr>
              <w:pStyle w:val="13"/>
              <w:kinsoku w:val="0"/>
              <w:overflowPunct w:val="0"/>
              <w:spacing w:before="106"/>
              <w:ind w:right="2"/>
              <w:jc w:val="center"/>
            </w:pPr>
            <w:r>
              <w:rPr>
                <w:rFonts w:hint="eastAsia" w:ascii="仿宋_GB2312" w:eastAsia="仿宋_GB2312" w:cs="仿宋_GB2312"/>
              </w:rPr>
              <w:t>正高级工程师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79" w:hRule="exact"/>
          <w:jc w:val="center"/>
        </w:trPr>
        <w:tc>
          <w:tcPr>
            <w:tcW w:w="1695" w:type="dxa"/>
            <w:vAlign w:val="center"/>
          </w:tcPr>
          <w:p>
            <w:pPr>
              <w:pStyle w:val="13"/>
              <w:kinsoku w:val="0"/>
              <w:overflowPunct w:val="0"/>
              <w:spacing w:before="139"/>
              <w:jc w:val="center"/>
            </w:pPr>
            <w:r>
              <w:rPr>
                <w:rFonts w:hint="eastAsia" w:ascii="仿宋_GB2312" w:eastAsia="仿宋_GB2312" w:cs="仿宋_GB2312"/>
              </w:rPr>
              <w:t>吴霞</w:t>
            </w:r>
          </w:p>
        </w:tc>
        <w:tc>
          <w:tcPr>
            <w:tcW w:w="3936" w:type="dxa"/>
            <w:vAlign w:val="center"/>
          </w:tcPr>
          <w:p>
            <w:pPr>
              <w:pStyle w:val="13"/>
              <w:kinsoku w:val="0"/>
              <w:overflowPunct w:val="0"/>
              <w:spacing w:before="139"/>
              <w:jc w:val="center"/>
            </w:pPr>
            <w:r>
              <w:rPr>
                <w:rFonts w:hint="eastAsia" w:ascii="仿宋_GB2312" w:eastAsia="仿宋_GB2312" w:cs="仿宋_GB2312"/>
              </w:rPr>
              <w:t>云南省林业规划院</w:t>
            </w:r>
          </w:p>
        </w:tc>
        <w:tc>
          <w:tcPr>
            <w:tcW w:w="2645" w:type="dxa"/>
            <w:vAlign w:val="center"/>
          </w:tcPr>
          <w:p>
            <w:pPr>
              <w:pStyle w:val="13"/>
              <w:kinsoku w:val="0"/>
              <w:overflowPunct w:val="0"/>
              <w:spacing w:before="139"/>
              <w:jc w:val="center"/>
            </w:pPr>
            <w:r>
              <w:rPr>
                <w:rFonts w:hint="eastAsia" w:ascii="仿宋_GB2312" w:eastAsia="仿宋_GB2312" w:cs="仿宋_GB2312"/>
              </w:rPr>
              <w:t>正高级工程师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27" w:hRule="exact"/>
          <w:jc w:val="center"/>
        </w:trPr>
        <w:tc>
          <w:tcPr>
            <w:tcW w:w="1695" w:type="dxa"/>
            <w:vAlign w:val="center"/>
          </w:tcPr>
          <w:p>
            <w:pPr>
              <w:pStyle w:val="13"/>
              <w:kinsoku w:val="0"/>
              <w:overflowPunct w:val="0"/>
              <w:spacing w:before="106"/>
              <w:jc w:val="center"/>
            </w:pPr>
            <w:r>
              <w:rPr>
                <w:rFonts w:hint="eastAsia" w:ascii="仿宋_GB2312" w:eastAsia="仿宋_GB2312" w:cs="仿宋_GB2312"/>
              </w:rPr>
              <w:t>吴宁</w:t>
            </w:r>
          </w:p>
        </w:tc>
        <w:tc>
          <w:tcPr>
            <w:tcW w:w="3936" w:type="dxa"/>
            <w:vAlign w:val="center"/>
          </w:tcPr>
          <w:p>
            <w:pPr>
              <w:pStyle w:val="13"/>
              <w:kinsoku w:val="0"/>
              <w:overflowPunct w:val="0"/>
              <w:spacing w:before="106"/>
              <w:jc w:val="center"/>
            </w:pPr>
            <w:r>
              <w:rPr>
                <w:rFonts w:hint="eastAsia" w:ascii="仿宋_GB2312" w:eastAsia="仿宋_GB2312" w:cs="仿宋_GB2312"/>
              </w:rPr>
              <w:t>昆明科地土地技术咨询有限公司</w:t>
            </w:r>
          </w:p>
        </w:tc>
        <w:tc>
          <w:tcPr>
            <w:tcW w:w="2645" w:type="dxa"/>
            <w:vAlign w:val="center"/>
          </w:tcPr>
          <w:p>
            <w:pPr>
              <w:pStyle w:val="13"/>
              <w:kinsoku w:val="0"/>
              <w:overflowPunct w:val="0"/>
              <w:spacing w:before="106"/>
              <w:jc w:val="center"/>
            </w:pPr>
            <w:r>
              <w:rPr>
                <w:rFonts w:hint="eastAsia" w:ascii="仿宋_GB2312" w:eastAsia="仿宋_GB2312" w:cs="仿宋_GB2312"/>
              </w:rPr>
              <w:t>高级工程师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89" w:hRule="exact"/>
          <w:jc w:val="center"/>
        </w:trPr>
        <w:tc>
          <w:tcPr>
            <w:tcW w:w="1695" w:type="dxa"/>
            <w:vAlign w:val="center"/>
          </w:tcPr>
          <w:p>
            <w:pPr>
              <w:pStyle w:val="13"/>
              <w:kinsoku w:val="0"/>
              <w:overflowPunct w:val="0"/>
              <w:spacing w:before="144"/>
              <w:jc w:val="center"/>
            </w:pPr>
            <w:r>
              <w:rPr>
                <w:rFonts w:hint="eastAsia" w:ascii="仿宋_GB2312" w:eastAsia="仿宋_GB2312" w:cs="仿宋_GB2312"/>
              </w:rPr>
              <w:t>张瑜</w:t>
            </w:r>
          </w:p>
        </w:tc>
        <w:tc>
          <w:tcPr>
            <w:tcW w:w="3936" w:type="dxa"/>
            <w:vAlign w:val="center"/>
          </w:tcPr>
          <w:p>
            <w:pPr>
              <w:pStyle w:val="13"/>
              <w:kinsoku w:val="0"/>
              <w:overflowPunct w:val="0"/>
              <w:spacing w:before="144"/>
              <w:jc w:val="center"/>
            </w:pPr>
            <w:r>
              <w:rPr>
                <w:rFonts w:hint="eastAsia" w:ascii="仿宋_GB2312" w:eastAsia="仿宋_GB2312" w:cs="仿宋_GB2312"/>
              </w:rPr>
              <w:t>云南述志工程技术有限公司</w:t>
            </w:r>
          </w:p>
        </w:tc>
        <w:tc>
          <w:tcPr>
            <w:tcW w:w="2645" w:type="dxa"/>
            <w:vAlign w:val="center"/>
          </w:tcPr>
          <w:p>
            <w:pPr>
              <w:pStyle w:val="13"/>
              <w:kinsoku w:val="0"/>
              <w:overflowPunct w:val="0"/>
              <w:spacing w:before="144"/>
              <w:ind w:right="2"/>
              <w:jc w:val="center"/>
            </w:pPr>
            <w:r>
              <w:rPr>
                <w:rFonts w:hint="eastAsia" w:ascii="仿宋_GB2312" w:eastAsia="仿宋_GB2312" w:cs="仿宋_GB2312"/>
              </w:rPr>
              <w:t>高级工程师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5" w:hRule="exact"/>
          <w:jc w:val="center"/>
        </w:trPr>
        <w:tc>
          <w:tcPr>
            <w:tcW w:w="1695" w:type="dxa"/>
            <w:vAlign w:val="center"/>
          </w:tcPr>
          <w:p>
            <w:pPr>
              <w:pStyle w:val="13"/>
              <w:kinsoku w:val="0"/>
              <w:overflowPunct w:val="0"/>
              <w:spacing w:before="180"/>
              <w:jc w:val="center"/>
            </w:pPr>
            <w:r>
              <w:rPr>
                <w:rFonts w:hint="eastAsia" w:ascii="仿宋_GB2312" w:eastAsia="仿宋_GB2312" w:cs="仿宋_GB2312"/>
              </w:rPr>
              <w:t>李建刚</w:t>
            </w:r>
          </w:p>
        </w:tc>
        <w:tc>
          <w:tcPr>
            <w:tcW w:w="3936" w:type="dxa"/>
            <w:vAlign w:val="center"/>
          </w:tcPr>
          <w:p>
            <w:pPr>
              <w:pStyle w:val="13"/>
              <w:kinsoku w:val="0"/>
              <w:overflowPunct w:val="0"/>
              <w:spacing w:before="180"/>
              <w:jc w:val="center"/>
            </w:pPr>
            <w:r>
              <w:rPr>
                <w:rFonts w:hint="eastAsia" w:ascii="仿宋_GB2312" w:eastAsia="仿宋_GB2312" w:cs="仿宋_GB2312"/>
              </w:rPr>
              <w:t>昆明市国土规划勘察测绘研究院</w:t>
            </w:r>
          </w:p>
        </w:tc>
        <w:tc>
          <w:tcPr>
            <w:tcW w:w="2645" w:type="dxa"/>
            <w:vAlign w:val="center"/>
          </w:tcPr>
          <w:p>
            <w:pPr>
              <w:pStyle w:val="13"/>
              <w:kinsoku w:val="0"/>
              <w:overflowPunct w:val="0"/>
              <w:spacing w:before="180"/>
              <w:ind w:right="2"/>
              <w:jc w:val="center"/>
            </w:pPr>
            <w:r>
              <w:rPr>
                <w:rFonts w:hint="eastAsia" w:ascii="仿宋_GB2312" w:eastAsia="仿宋_GB2312" w:cs="仿宋_GB2312"/>
              </w:rPr>
              <w:t>高级工程师</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xYjA4NmFkY2FkNzI1N2Q4NzQyNTIzZmY1OTM3MzgifQ=="/>
  </w:docVars>
  <w:rsids>
    <w:rsidRoot w:val="00804E83"/>
    <w:rsid w:val="001F5F36"/>
    <w:rsid w:val="00326AF4"/>
    <w:rsid w:val="007A5BFA"/>
    <w:rsid w:val="00804E83"/>
    <w:rsid w:val="00AA4926"/>
    <w:rsid w:val="00AB0856"/>
    <w:rsid w:val="00AC568B"/>
    <w:rsid w:val="00C55D0E"/>
    <w:rsid w:val="00CE7980"/>
    <w:rsid w:val="00D6446C"/>
    <w:rsid w:val="00D877C3"/>
    <w:rsid w:val="00E36286"/>
    <w:rsid w:val="00EC22D9"/>
    <w:rsid w:val="00ED3067"/>
    <w:rsid w:val="00F17E91"/>
    <w:rsid w:val="3A7B4EAF"/>
    <w:rsid w:val="43347138"/>
    <w:rsid w:val="4FD7558A"/>
    <w:rsid w:val="732A4826"/>
    <w:rsid w:val="7AA6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14"/>
    <w:qFormat/>
    <w:uiPriority w:val="1"/>
    <w:pPr>
      <w:autoSpaceDE w:val="0"/>
      <w:autoSpaceDN w:val="0"/>
      <w:adjustRightInd w:val="0"/>
      <w:ind w:left="992"/>
      <w:jc w:val="left"/>
      <w:outlineLvl w:val="0"/>
    </w:pPr>
    <w:rPr>
      <w:rFonts w:ascii="黑体" w:hAnsi="Times New Roman" w:eastAsia="黑体" w:cs="黑体"/>
      <w:kern w:val="0"/>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line="360" w:lineRule="auto"/>
      <w:ind w:firstLine="200"/>
    </w:pPr>
    <w:rPr>
      <w:spacing w:val="4"/>
      <w:sz w:val="24"/>
      <w:szCs w:val="28"/>
    </w:rPr>
  </w:style>
  <w:style w:type="paragraph" w:styleId="3">
    <w:name w:val="Body Text Indent"/>
    <w:basedOn w:val="1"/>
    <w:qFormat/>
    <w:uiPriority w:val="0"/>
    <w:pPr>
      <w:spacing w:after="120"/>
      <w:ind w:left="420" w:leftChars="200"/>
    </w:pPr>
  </w:style>
  <w:style w:type="paragraph" w:styleId="4">
    <w:name w:val="Body Text First Indent"/>
    <w:basedOn w:val="5"/>
    <w:next w:val="1"/>
    <w:unhideWhenUsed/>
    <w:qFormat/>
    <w:uiPriority w:val="99"/>
    <w:pPr>
      <w:ind w:firstLine="420" w:firstLineChars="100"/>
    </w:pPr>
    <w:rPr>
      <w:rFonts w:ascii="Times New Roman" w:eastAsia="宋体" w:cs="Times New Roman"/>
      <w:kern w:val="2"/>
      <w:sz w:val="21"/>
    </w:rPr>
  </w:style>
  <w:style w:type="paragraph" w:styleId="5">
    <w:name w:val="Body Text"/>
    <w:basedOn w:val="1"/>
    <w:link w:val="12"/>
    <w:qFormat/>
    <w:uiPriority w:val="1"/>
    <w:pPr>
      <w:autoSpaceDE w:val="0"/>
      <w:autoSpaceDN w:val="0"/>
      <w:adjustRightInd w:val="0"/>
      <w:spacing w:before="43"/>
      <w:ind w:left="1356" w:firstLine="480"/>
      <w:jc w:val="left"/>
    </w:pPr>
    <w:rPr>
      <w:rFonts w:ascii="仿宋_GB2312" w:hAnsi="Times New Roman" w:eastAsia="仿宋_GB2312" w:cs="仿宋_GB2312"/>
      <w:kern w:val="0"/>
      <w:sz w:val="24"/>
      <w:szCs w:val="24"/>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正文文本 字符"/>
    <w:basedOn w:val="11"/>
    <w:link w:val="5"/>
    <w:qFormat/>
    <w:uiPriority w:val="99"/>
    <w:rPr>
      <w:rFonts w:ascii="仿宋_GB2312" w:hAnsi="Times New Roman" w:eastAsia="仿宋_GB2312" w:cs="仿宋_GB2312"/>
      <w:kern w:val="0"/>
      <w:sz w:val="24"/>
      <w:szCs w:val="24"/>
    </w:rPr>
  </w:style>
  <w:style w:type="paragraph" w:customStyle="1" w:styleId="1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14">
    <w:name w:val="标题 1 字符"/>
    <w:basedOn w:val="11"/>
    <w:link w:val="6"/>
    <w:qFormat/>
    <w:uiPriority w:val="1"/>
    <w:rPr>
      <w:rFonts w:ascii="黑体" w:hAnsi="Times New Roman" w:eastAsia="黑体" w:cs="黑体"/>
      <w:kern w:val="0"/>
      <w:sz w:val="32"/>
      <w:szCs w:val="32"/>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91C70-510F-4C95-9E8A-4FA8C08EF292}">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311</Words>
  <Characters>1775</Characters>
  <Lines>14</Lines>
  <Paragraphs>4</Paragraphs>
  <TotalTime>3</TotalTime>
  <ScaleCrop>false</ScaleCrop>
  <LinksUpToDate>false</LinksUpToDate>
  <CharactersWithSpaces>2082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2023-12-07T07:16:00Z</dcterms:created>
  <dc:creator>g'g</dc:creator>
  <cp:lastModifiedBy>Lenovo</cp:lastModifiedBy>
  <cp:lastPrinted>2023-12-13T03:49:02Z</cp:lastPrinted>
  <dcterms:modified xsi:type="dcterms:W3CDTF">2023-12-13T03:49:06Z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48385278D7FD4A0B861FB97A3863257D_13</vt:lpwstr>
  </property>
</Properties>
</file>