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FB9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lang w:val="zh-CN" w:eastAsia="zh-CN"/>
        </w:rPr>
      </w:pPr>
      <w:r>
        <w:rPr>
          <w:rFonts w:hint="eastAsia" w:ascii="方正黑体_GBK" w:hAnsi="方正黑体_GBK" w:eastAsia="方正黑体_GBK" w:cs="方正黑体_GBK"/>
          <w:b w:val="0"/>
          <w:bCs w:val="0"/>
          <w:color w:val="auto"/>
          <w:sz w:val="32"/>
          <w:szCs w:val="32"/>
          <w:highlight w:val="none"/>
          <w:lang w:val="zh-CN" w:eastAsia="zh-CN"/>
        </w:rPr>
        <w:t>云南滇中新区国家管网成品油输油管道迁改工程建设项目</w:t>
      </w:r>
    </w:p>
    <w:p w14:paraId="0A946D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val="zh-CN" w:eastAsia="zh-CN"/>
        </w:rPr>
        <w:t>（云南滇中新区段）临时用地土地复垦方案</w:t>
      </w:r>
      <w:r>
        <w:rPr>
          <w:rFonts w:hint="eastAsia" w:ascii="方正黑体_GBK" w:hAnsi="方正黑体_GBK" w:eastAsia="方正黑体_GBK" w:cs="方正黑体_GBK"/>
          <w:b w:val="0"/>
          <w:bCs w:val="0"/>
          <w:color w:val="auto"/>
          <w:sz w:val="32"/>
          <w:szCs w:val="32"/>
          <w:highlight w:val="none"/>
          <w:lang w:eastAsia="zh-CN"/>
        </w:rPr>
        <w:t>专家组评审意见</w:t>
      </w:r>
    </w:p>
    <w:tbl>
      <w:tblPr>
        <w:tblStyle w:val="5"/>
        <w:tblW w:w="94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8"/>
        <w:gridCol w:w="1242"/>
        <w:gridCol w:w="2552"/>
        <w:gridCol w:w="4387"/>
      </w:tblGrid>
      <w:tr w14:paraId="0687F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C608F">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建设项目名称</w:t>
            </w:r>
          </w:p>
        </w:tc>
        <w:tc>
          <w:tcPr>
            <w:tcW w:w="69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4DD25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zh-CN"/>
              </w:rPr>
              <w:t>云南滇中新区国家管网成品油输油管道迁改工程建设项目（云南滇中新区段）临时用地</w:t>
            </w:r>
          </w:p>
        </w:tc>
      </w:tr>
      <w:tr w14:paraId="1938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D19E8">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建设单位名称</w:t>
            </w:r>
          </w:p>
        </w:tc>
        <w:tc>
          <w:tcPr>
            <w:tcW w:w="69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50196">
            <w:pPr>
              <w:ind w:left="1959" w:leftChars="266" w:hanging="1400" w:hangingChars="500"/>
              <w:jc w:val="left"/>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rPr>
              <w:t>国家石油天然气管网集团有限公司华南分公司</w:t>
            </w:r>
          </w:p>
        </w:tc>
      </w:tr>
      <w:tr w14:paraId="5CD7C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11B18">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编制单位名称</w:t>
            </w:r>
          </w:p>
        </w:tc>
        <w:tc>
          <w:tcPr>
            <w:tcW w:w="69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8F9FA">
            <w:pPr>
              <w:keepNext w:val="0"/>
              <w:keepLines w:val="0"/>
              <w:widowControl/>
              <w:suppressLineNumbers w:val="0"/>
              <w:ind w:firstLine="560" w:firstLineChars="20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云南瀚哲科技有限公司</w:t>
            </w:r>
          </w:p>
        </w:tc>
      </w:tr>
      <w:tr w14:paraId="32405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5F5D5">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项目用地面积</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E9D0">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永久性建设用地</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457A">
            <w:pPr>
              <w:keepNext w:val="0"/>
              <w:keepLines w:val="0"/>
              <w:widowControl/>
              <w:suppressLineNumbers w:val="0"/>
              <w:jc w:val="center"/>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0.0800公顷</w:t>
            </w:r>
          </w:p>
        </w:tc>
      </w:tr>
      <w:tr w14:paraId="20FC1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6E2AF">
            <w:pPr>
              <w:jc w:val="center"/>
              <w:rPr>
                <w:rFonts w:hint="default" w:ascii="Times New Roman" w:hAnsi="Times New Roman" w:eastAsia="方正仿宋_GBK" w:cs="Times New Roman"/>
                <w:color w:val="auto"/>
                <w:kern w:val="2"/>
                <w:sz w:val="28"/>
                <w:szCs w:val="28"/>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2A8A">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占用面积</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9FCE">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0公顷</w:t>
            </w:r>
          </w:p>
        </w:tc>
      </w:tr>
      <w:tr w14:paraId="3CC28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E1E42">
            <w:pPr>
              <w:jc w:val="center"/>
              <w:rPr>
                <w:rFonts w:hint="default" w:ascii="Times New Roman" w:hAnsi="Times New Roman" w:eastAsia="方正仿宋_GBK" w:cs="Times New Roman"/>
                <w:color w:val="auto"/>
                <w:kern w:val="2"/>
                <w:sz w:val="28"/>
                <w:szCs w:val="28"/>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6ADB">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拟损毁土地面积</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C7A1">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39.8135公顷</w:t>
            </w:r>
          </w:p>
        </w:tc>
      </w:tr>
      <w:tr w14:paraId="6D79B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F7B21F">
            <w:pPr>
              <w:keepNext w:val="0"/>
              <w:keepLines w:val="0"/>
              <w:widowControl/>
              <w:suppressLineNumbers w:val="0"/>
              <w:ind w:firstLine="560" w:firstLineChars="200"/>
              <w:jc w:val="center"/>
              <w:textAlignment w:val="top"/>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生产能力（或投资规模）</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6966">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89656.64万元</w:t>
            </w:r>
          </w:p>
        </w:tc>
      </w:tr>
      <w:tr w14:paraId="2E5CE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BAA4FF">
            <w:pPr>
              <w:keepNext w:val="0"/>
              <w:keepLines w:val="0"/>
              <w:widowControl/>
              <w:suppressLineNumbers w:val="0"/>
              <w:ind w:firstLine="560" w:firstLineChars="200"/>
              <w:jc w:val="center"/>
              <w:textAlignment w:val="top"/>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生产年限（或建设期限）</w:t>
            </w:r>
          </w:p>
        </w:tc>
        <w:tc>
          <w:tcPr>
            <w:tcW w:w="4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D828">
            <w:pPr>
              <w:keepNext w:val="0"/>
              <w:keepLines w:val="0"/>
              <w:widowControl/>
              <w:suppressLineNumbers w:val="0"/>
              <w:jc w:val="center"/>
              <w:textAlignment w:val="center"/>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2024年1月—2024年6月</w:t>
            </w:r>
          </w:p>
        </w:tc>
      </w:tr>
      <w:tr w14:paraId="3C02B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216A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14:paraId="661DD83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专</w:t>
            </w:r>
          </w:p>
          <w:p w14:paraId="554CBD9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14:paraId="5665B7F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家</w:t>
            </w:r>
          </w:p>
          <w:p w14:paraId="1E91C18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14:paraId="1BA135F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评</w:t>
            </w:r>
          </w:p>
          <w:p w14:paraId="78C717C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14:paraId="79BB2F7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审</w:t>
            </w:r>
          </w:p>
          <w:p w14:paraId="0B8D398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14:paraId="29A9A48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r>
              <w:rPr>
                <w:rFonts w:hint="default" w:ascii="Times New Roman" w:hAnsi="Times New Roman" w:eastAsia="方正仿宋_GBK" w:cs="Times New Roman"/>
                <w:b/>
                <w:bCs/>
                <w:i w:val="0"/>
                <w:iCs w:val="0"/>
                <w:color w:val="auto"/>
                <w:kern w:val="0"/>
                <w:sz w:val="28"/>
                <w:szCs w:val="28"/>
                <w:u w:val="none"/>
                <w:lang w:val="en-US" w:eastAsia="zh-CN" w:bidi="ar"/>
              </w:rPr>
              <w:t>结</w:t>
            </w:r>
          </w:p>
          <w:p w14:paraId="3C82594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b/>
                <w:bCs/>
                <w:i w:val="0"/>
                <w:iCs w:val="0"/>
                <w:color w:val="auto"/>
                <w:kern w:val="0"/>
                <w:sz w:val="28"/>
                <w:szCs w:val="28"/>
                <w:u w:val="none"/>
                <w:lang w:val="en-US" w:eastAsia="zh-CN" w:bidi="ar"/>
              </w:rPr>
            </w:pPr>
          </w:p>
          <w:p w14:paraId="5993D93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b/>
                <w:bCs/>
                <w:i w:val="0"/>
                <w:iCs w:val="0"/>
                <w:color w:val="auto"/>
                <w:kern w:val="0"/>
                <w:sz w:val="28"/>
                <w:szCs w:val="28"/>
                <w:u w:val="none"/>
                <w:lang w:val="en-US" w:eastAsia="zh-CN" w:bidi="ar"/>
              </w:rPr>
              <w:t>论</w:t>
            </w:r>
          </w:p>
        </w:tc>
        <w:tc>
          <w:tcPr>
            <w:tcW w:w="818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5F479F1">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根据《土地复垦条例》(国务院592号令)《土地复垦条例实施办法》《土地复垦质量控制标准》及土地开发整理工程建设标准和土地复垦相关规程。2024年1月17日，云南滇中新区自然资源规划局组织有关专家对云南瀚哲科技有限公司编制的“</w:t>
            </w:r>
            <w:r>
              <w:rPr>
                <w:rFonts w:hint="default" w:ascii="Times New Roman" w:hAnsi="Times New Roman" w:eastAsia="方正仿宋_GBK" w:cs="Times New Roman"/>
                <w:color w:val="auto"/>
                <w:sz w:val="28"/>
                <w:szCs w:val="28"/>
                <w:lang w:val="zh-CN" w:eastAsia="zh-CN"/>
              </w:rPr>
              <w:t>云南滇中新区国家管网成品油输油管道迁改工程建设项目（云南滇中新区段）临时用地土地复垦方案</w:t>
            </w:r>
            <w:r>
              <w:rPr>
                <w:rFonts w:hint="default" w:ascii="Times New Roman" w:hAnsi="Times New Roman" w:eastAsia="方正仿宋_GBK" w:cs="Times New Roman"/>
                <w:color w:val="auto"/>
                <w:sz w:val="28"/>
                <w:szCs w:val="28"/>
                <w:lang w:val="en-US" w:eastAsia="zh-CN"/>
              </w:rPr>
              <w:t>”进行了评审，形成如下评审意见：</w:t>
            </w:r>
          </w:p>
          <w:p w14:paraId="59B46950">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本土地复垦方案报告书编制符合土地复垦相关规程要求；提出的土地复垦措施基本可行；复垦费用估算基本合理。</w:t>
            </w:r>
          </w:p>
          <w:p w14:paraId="364E3046">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zh-CN" w:eastAsia="zh-CN"/>
              </w:rPr>
              <w:t>云南滇中新区国家管网成品油输油管道迁改工程建设项目（云南滇中新区段）临时用地</w:t>
            </w:r>
            <w:r>
              <w:rPr>
                <w:rFonts w:hint="default" w:ascii="Times New Roman" w:hAnsi="Times New Roman" w:eastAsia="方正仿宋_GBK" w:cs="Times New Roman"/>
                <w:color w:val="auto"/>
                <w:sz w:val="28"/>
                <w:szCs w:val="28"/>
                <w:lang w:val="en-US" w:eastAsia="zh-CN"/>
              </w:rPr>
              <w:t>位于云南滇中新区，项目区土地总面积39.8135公顷，复垦区面积为39.8135公顷，复垦区内耕地占5.0223公顷，果园3.2993公顷、林地面积占27.9044公顷，其他草地1.4420公顷，交通运输用地面积1.0958公顷、水域及水利设施用地0.2646公顷，其他土地0.7851公顷。本项目土地复垦方案服务年限为4年从2024年1月—2027年12月。</w:t>
            </w:r>
          </w:p>
          <w:p w14:paraId="2FBDF782">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实施过程中必须严格按照《土地复垦条例》</w:t>
            </w:r>
            <w:bookmarkStart w:id="4" w:name="_GoBack"/>
            <w:bookmarkEnd w:id="4"/>
            <w:r>
              <w:rPr>
                <w:rFonts w:hint="eastAsia" w:eastAsia="方正仿宋_GBK" w:cs="Times New Roman"/>
                <w:color w:val="auto"/>
                <w:sz w:val="28"/>
                <w:szCs w:val="28"/>
                <w:lang w:val="en-US" w:eastAsia="zh-CN"/>
              </w:rPr>
              <w:t>《中华人民共和国土地管理法》</w:t>
            </w:r>
            <w:r>
              <w:rPr>
                <w:rFonts w:hint="default" w:ascii="Times New Roman" w:hAnsi="Times New Roman" w:eastAsia="方正仿宋_GBK" w:cs="Times New Roman"/>
                <w:color w:val="auto"/>
                <w:sz w:val="28"/>
                <w:szCs w:val="28"/>
                <w:lang w:val="en-US" w:eastAsia="zh-CN"/>
              </w:rPr>
              <w:t>等相关国家法律法规规定进行表土剥离和集中堆放，同时需严格按照国家临时用地管理的相关规定，在批准范围内使用临时用地，并加强对耕地、林地的保护，不经批准，不得随意占用、损毁耕地和林地等作为临时用地。</w:t>
            </w:r>
          </w:p>
          <w:p w14:paraId="44667974">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原则同意本方案制定的复垦目标和任务，本项目共复垦士地面积39.8135公顷，其中水田0.0035公顷、水浇地0.1641公顷、旱地5.6393公顷、果园3.2987公顷、乔木林地13.2213公顷，人工牧草地16.1330公顷、农村道路1.0890公顷、坑塘水面0.2566公顷、沟渠0.0080公顷，复垦率为100.00%。</w:t>
            </w:r>
          </w:p>
          <w:p w14:paraId="12E1D4C6">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项目建设单位必须根据实际损毁土地情况、采取必要的复垦工程措施，严格履行复垦承诺，确保土地复垦工作落实到位，使复垦后的地类质量等级高于或等于损毁前的地类等级。</w:t>
            </w:r>
          </w:p>
          <w:p w14:paraId="256E8DB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综上所述，该复垦方案的编制基本符合有关文件及土地复垦的技术规范、标准的要求，相关分析及损毁土地预测，复垦工程措施基本合理、可行。专家组原则同意通过评审，编制单位已按照专家提出的修改意见进行了修改完善，并按照规定存储了土地复垦费，可按照规定程序上报备案。但在临时用地使用过程中需进一步加强和完善相关措施，采取有效的预防措施防止水土流失及新的土地损毁。同时，各种建设活动应严格控制在征地及批准的临时用地范围内，并做好土壤和植被的保护措施；必须严格按照土地管理法及土地复垦条例的相关要求对临时用地区进行表土及耕作层剥离和集中堆放；应加强对生产生活产生的污水等方面的管理，防止粉尘、油污和水土流失对周边村庄及农田的污染和土地损毁。业主单位应明确复垦责任人，确保措施落实，使复垦后的各种地类标准不得低于原有地类的等级，并满足国家《土地复垦质量控制标准》的相关要求，保障项目区周边群众的合法利益不受侵害，达到土地复垦方案制定的任务目标要求。在实施过程中应接受各级自然资源管理部门的监督和检查。复垦区所在地自然资源部门应加强对复垦工作的监督管理，确保复垦措施和复垦责任的落实。项目临时用地时间、性质、规模、地点、范围或用途等发生变化，需按相关规定和要求重新组织编报土地复垦方案或对原土地复垦方案进行修订，报原审查单位审查并备案。此意见仅为复垦方案编制审查意见，不能代替临时用地的审批，业主单位需及时办理临时用地的手续。</w:t>
            </w:r>
          </w:p>
          <w:p w14:paraId="683126FE">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14:paraId="4A433DC0">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14:paraId="22A9CC79">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14:paraId="07BD66FD">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14:paraId="53E36ADF">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14:paraId="1D28B474">
            <w:pPr>
              <w:keepNext w:val="0"/>
              <w:keepLines w:val="0"/>
              <w:pageBreakBefore w:val="0"/>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p>
          <w:p w14:paraId="186D18B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560" w:firstLineChars="200"/>
              <w:jc w:val="both"/>
              <w:textAlignment w:val="top"/>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 xml:space="preserve">专家组长：章正军                   </w:t>
            </w:r>
          </w:p>
          <w:p w14:paraId="77C2EBCE">
            <w:pPr>
              <w:keepNext w:val="0"/>
              <w:keepLines w:val="0"/>
              <w:pageBreakBefore w:val="0"/>
              <w:tabs>
                <w:tab w:val="left" w:pos="848"/>
              </w:tabs>
              <w:kinsoku/>
              <w:wordWrap/>
              <w:overflowPunct/>
              <w:topLinePunct w:val="0"/>
              <w:autoSpaceDE/>
              <w:autoSpaceDN/>
              <w:bidi w:val="0"/>
              <w:adjustRightInd w:val="0"/>
              <w:snapToGrid w:val="0"/>
              <w:spacing w:line="360" w:lineRule="auto"/>
              <w:ind w:firstLine="420" w:firstLineChars="200"/>
              <w:jc w:val="both"/>
              <w:rPr>
                <w:rStyle w:val="7"/>
                <w:rFonts w:hint="default" w:ascii="Times New Roman" w:hAnsi="Times New Roman" w:eastAsia="方正仿宋_GBK" w:cs="Times New Roman"/>
                <w:i w:val="0"/>
                <w:iCs w:val="0"/>
                <w:color w:val="auto"/>
                <w:lang w:val="en-US" w:eastAsia="zh-CN" w:bidi="ar"/>
              </w:rPr>
            </w:pPr>
            <w:r>
              <w:rPr>
                <w:rStyle w:val="7"/>
                <w:rFonts w:hint="default" w:ascii="Times New Roman" w:hAnsi="Times New Roman" w:eastAsia="方正仿宋_GBK" w:cs="Times New Roman"/>
                <w:i w:val="0"/>
                <w:iCs w:val="0"/>
                <w:color w:val="auto"/>
                <w:lang w:val="en-US" w:eastAsia="zh-CN" w:bidi="ar"/>
              </w:rPr>
              <w:t xml:space="preserve">                                        </w:t>
            </w:r>
            <w:r>
              <w:rPr>
                <w:rFonts w:hint="default" w:ascii="Times New Roman" w:hAnsi="Times New Roman" w:eastAsia="方正仿宋_GBK" w:cs="Times New Roman"/>
                <w:color w:val="auto"/>
                <w:sz w:val="28"/>
                <w:szCs w:val="28"/>
                <w:lang w:val="en-US" w:eastAsia="zh-CN"/>
              </w:rPr>
              <w:t>2024年 4月30日</w:t>
            </w:r>
            <w:r>
              <w:rPr>
                <w:rStyle w:val="7"/>
                <w:rFonts w:hint="default" w:ascii="Times New Roman" w:hAnsi="Times New Roman" w:eastAsia="方正仿宋_GBK" w:cs="Times New Roman"/>
                <w:i w:val="0"/>
                <w:iCs w:val="0"/>
                <w:color w:val="auto"/>
                <w:lang w:val="en-US" w:eastAsia="zh-CN" w:bidi="ar"/>
              </w:rPr>
              <w:t xml:space="preserve">          </w:t>
            </w:r>
          </w:p>
        </w:tc>
      </w:tr>
      <w:tr w14:paraId="7E76A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F4A5E">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3A7270F">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14:paraId="1DB28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D1332">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57F738">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14:paraId="35BAF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7EDF5">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53198D0">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14:paraId="4CC7D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52F3D">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C2DF3A6">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14:paraId="38F5C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8DFD1">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7B3624">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14:paraId="4CF2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5"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2575C">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22253B">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r w14:paraId="2BBD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365B4">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c>
          <w:tcPr>
            <w:tcW w:w="81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41E56B">
            <w:pPr>
              <w:keepNext w:val="0"/>
              <w:keepLines w:val="0"/>
              <w:pageBreakBefore w:val="0"/>
              <w:kinsoku/>
              <w:wordWrap/>
              <w:overflowPunct/>
              <w:topLinePunct w:val="0"/>
              <w:autoSpaceDE/>
              <w:autoSpaceDN/>
              <w:bidi w:val="0"/>
              <w:adjustRightInd w:val="0"/>
              <w:snapToGrid w:val="0"/>
              <w:spacing w:line="360" w:lineRule="auto"/>
              <w:ind w:firstLine="560" w:firstLineChars="200"/>
              <w:jc w:val="both"/>
              <w:rPr>
                <w:rFonts w:hint="default" w:ascii="Times New Roman" w:hAnsi="Times New Roman" w:eastAsia="方正仿宋_GBK" w:cs="Times New Roman"/>
                <w:i w:val="0"/>
                <w:iCs w:val="0"/>
                <w:color w:val="auto"/>
                <w:sz w:val="28"/>
                <w:szCs w:val="28"/>
                <w:u w:val="none"/>
              </w:rPr>
            </w:pPr>
          </w:p>
        </w:tc>
      </w:tr>
    </w:tbl>
    <w:p w14:paraId="189BD5FA">
      <w:pPr>
        <w:jc w:val="center"/>
        <w:rPr>
          <w:rFonts w:hint="eastAsia" w:ascii="方正黑体_GBK" w:hAnsi="方正黑体_GBK" w:eastAsia="方正黑体_GBK" w:cs="方正黑体_GBK"/>
          <w:b w:val="0"/>
          <w:bCs w:val="0"/>
          <w:color w:val="auto"/>
          <w:kern w:val="2"/>
          <w:sz w:val="28"/>
          <w:szCs w:val="32"/>
          <w:highlight w:val="none"/>
          <w:lang w:val="en-US" w:eastAsia="zh-CN" w:bidi="ar-SA"/>
        </w:rPr>
      </w:pPr>
      <w:bookmarkStart w:id="0" w:name="_Toc8135"/>
      <w:bookmarkStart w:id="1" w:name="_Toc5834"/>
      <w:bookmarkStart w:id="2" w:name="_Toc31580"/>
      <w:bookmarkStart w:id="3" w:name="_Toc11611"/>
      <w:r>
        <w:rPr>
          <w:rFonts w:hint="eastAsia" w:ascii="方正黑体_GBK" w:hAnsi="方正黑体_GBK" w:eastAsia="方正黑体_GBK" w:cs="方正黑体_GBK"/>
          <w:b w:val="0"/>
          <w:bCs w:val="0"/>
          <w:color w:val="auto"/>
          <w:kern w:val="2"/>
          <w:sz w:val="28"/>
          <w:szCs w:val="32"/>
          <w:highlight w:val="none"/>
          <w:lang w:val="zh-CN" w:eastAsia="zh-CN" w:bidi="ar-SA"/>
        </w:rPr>
        <w:t>云南滇中新区国家管网成品油输油管道迁改工程建设项目（云南滇中新区段）土地复垦方案</w:t>
      </w:r>
      <w:bookmarkEnd w:id="0"/>
      <w:bookmarkEnd w:id="1"/>
      <w:bookmarkEnd w:id="2"/>
      <w:bookmarkEnd w:id="3"/>
      <w:r>
        <w:rPr>
          <w:rFonts w:hint="eastAsia" w:ascii="方正黑体_GBK" w:hAnsi="方正黑体_GBK" w:eastAsia="方正黑体_GBK" w:cs="方正黑体_GBK"/>
          <w:b w:val="0"/>
          <w:bCs w:val="0"/>
          <w:color w:val="auto"/>
          <w:kern w:val="2"/>
          <w:sz w:val="28"/>
          <w:szCs w:val="32"/>
          <w:highlight w:val="none"/>
          <w:lang w:val="en-US" w:eastAsia="zh-CN" w:bidi="ar-SA"/>
        </w:rPr>
        <w:t>评审专家组名单</w:t>
      </w:r>
    </w:p>
    <w:tbl>
      <w:tblPr>
        <w:tblStyle w:val="5"/>
        <w:tblW w:w="94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49"/>
        <w:gridCol w:w="5605"/>
        <w:gridCol w:w="2305"/>
      </w:tblGrid>
      <w:tr w14:paraId="6AA8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FDBD">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姓名</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57F8">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工作单位</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4686">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职务/职称</w:t>
            </w:r>
          </w:p>
        </w:tc>
      </w:tr>
      <w:tr w14:paraId="057FC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0A00">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章正军</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90A6">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云南省自然资源厅国土规划整理中心</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28774">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r w14:paraId="3A67F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B8E0">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李建刚</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4487">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昆明市国土规划勘察测绘设计研究院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83C8">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r w14:paraId="7F83D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E19D">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胡文君 </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D974">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云南省地质环境监测院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C48B">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r w14:paraId="5C5BD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F7C4">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吴霞</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B7AB">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云南省林业规划院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8BE1">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r w14:paraId="199C6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EE33B">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付旻</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66AB">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昆明华逸丰科技有限公司 </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AF0E">
            <w:pPr>
              <w:keepNext w:val="0"/>
              <w:keepLines w:val="0"/>
              <w:widowControl/>
              <w:suppressLineNumbers w:val="0"/>
              <w:spacing w:line="240" w:lineRule="auto"/>
              <w:jc w:val="center"/>
              <w:textAlignment w:val="top"/>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高级工程师</w:t>
            </w:r>
          </w:p>
        </w:tc>
      </w:tr>
    </w:tbl>
    <w:p w14:paraId="608CE4C8">
      <w:pPr>
        <w:jc w:val="center"/>
        <w:rPr>
          <w:rFonts w:hint="default" w:ascii="Times New Roman" w:hAnsi="Times New Roman" w:eastAsia="黑体" w:cs="Times New Roman"/>
          <w:b/>
          <w:bCs/>
          <w:color w:val="auto"/>
          <w:kern w:val="2"/>
          <w:sz w:val="28"/>
          <w:szCs w:val="32"/>
          <w:highlight w:val="none"/>
          <w:lang w:val="en-US" w:eastAsia="zh-CN" w:bidi="ar-SA"/>
        </w:rPr>
      </w:pPr>
    </w:p>
    <w:sectPr>
      <w:pgSz w:w="11906" w:h="16838"/>
      <w:pgMar w:top="1440" w:right="12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09770"/>
    <w:multiLevelType w:val="singleLevel"/>
    <w:tmpl w:val="0370977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yNWVmN2JjYzBkZDY1ZDg3NDI1NTllNTZiNWJjNjkifQ=="/>
  </w:docVars>
  <w:rsids>
    <w:rsidRoot w:val="31F64343"/>
    <w:rsid w:val="09273A00"/>
    <w:rsid w:val="128C209E"/>
    <w:rsid w:val="128F7426"/>
    <w:rsid w:val="15EC5F5D"/>
    <w:rsid w:val="22145DF3"/>
    <w:rsid w:val="242E0B8E"/>
    <w:rsid w:val="26970924"/>
    <w:rsid w:val="31F64343"/>
    <w:rsid w:val="3426553A"/>
    <w:rsid w:val="392F2BCF"/>
    <w:rsid w:val="3B4402BD"/>
    <w:rsid w:val="45645415"/>
    <w:rsid w:val="4A9A6D6E"/>
    <w:rsid w:val="5E7C34F9"/>
    <w:rsid w:val="60201F02"/>
    <w:rsid w:val="64694890"/>
    <w:rsid w:val="67563380"/>
    <w:rsid w:val="7901565E"/>
    <w:rsid w:val="79A3478A"/>
    <w:rsid w:val="7B1E7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kern w:val="0"/>
      <w:sz w:val="20"/>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11"/>
    <w:basedOn w:val="6"/>
    <w:qFormat/>
    <w:uiPriority w:val="0"/>
    <w:rPr>
      <w:rFonts w:hint="eastAsia" w:ascii="楷体" w:hAnsi="楷体" w:eastAsia="楷体" w:cs="楷体"/>
      <w:color w:val="000000"/>
      <w:sz w:val="21"/>
      <w:szCs w:val="21"/>
      <w:u w:val="none"/>
    </w:rPr>
  </w:style>
  <w:style w:type="character" w:customStyle="1" w:styleId="8">
    <w:name w:val="font51"/>
    <w:basedOn w:val="6"/>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1665</Words>
  <Characters>1815</Characters>
  <Lines>0</Lines>
  <Paragraphs>0</Paragraphs>
  <TotalTime>3</TotalTime>
  <ScaleCrop>false</ScaleCrop>
  <LinksUpToDate>false</LinksUpToDate>
  <CharactersWithSpaces>1888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2023-12-12T04:26:00Z</dcterms:created>
  <dc:creator>Administrator</dc:creator>
  <cp:lastModifiedBy>WPS_1525332042</cp:lastModifiedBy>
  <cp:lastPrinted>2024-05-08T08:26:00Z</cp:lastPrinted>
  <dcterms:modified xsi:type="dcterms:W3CDTF">2024-12-21T09:24:28Z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8CB0730CCC5448B4AC3DD9CD8C6A12D3_13</vt:lpwstr>
  </property>
</Properties>
</file>