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39FA6">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bookmarkStart w:id="0" w:name="_GoBack"/>
      <w:r>
        <w:rPr>
          <w:rFonts w:hint="eastAsia" w:ascii="方正黑体_GBK" w:hAnsi="方正黑体_GBK" w:eastAsia="方正黑体_GBK" w:cs="方正黑体_GBK"/>
          <w:spacing w:val="7"/>
          <w:sz w:val="31"/>
          <w:szCs w:val="31"/>
          <w:lang w:eastAsia="zh-CN"/>
        </w:rPr>
        <w:t>新建渝昆高铁工程昆明空港段中铁四局附属配套设施第二批临时用地土地复垦方案专家组评审意见表</w:t>
      </w:r>
    </w:p>
    <w:bookmarkEnd w:id="0"/>
    <w:p w14:paraId="792A0423">
      <w:pPr>
        <w:spacing w:line="98" w:lineRule="exact"/>
        <w:rPr>
          <w:lang w:eastAsia="zh-CN"/>
        </w:rPr>
      </w:pPr>
    </w:p>
    <w:tbl>
      <w:tblPr>
        <w:tblStyle w:val="4"/>
        <w:tblW w:w="90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3"/>
        <w:gridCol w:w="562"/>
        <w:gridCol w:w="888"/>
        <w:gridCol w:w="930"/>
        <w:gridCol w:w="5564"/>
      </w:tblGrid>
      <w:tr w14:paraId="5E279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533" w:type="dxa"/>
            <w:gridSpan w:val="3"/>
            <w:vAlign w:val="center"/>
          </w:tcPr>
          <w:p w14:paraId="7DD35568">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建设</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项目名称</w:t>
            </w:r>
          </w:p>
        </w:tc>
        <w:tc>
          <w:tcPr>
            <w:tcW w:w="6494" w:type="dxa"/>
            <w:gridSpan w:val="2"/>
            <w:vAlign w:val="center"/>
          </w:tcPr>
          <w:p w14:paraId="3B1BAA2A">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val="en-US" w:eastAsia="zh-CN"/>
              </w:rPr>
            </w:pPr>
            <w:r>
              <w:rPr>
                <w:rFonts w:hint="default" w:ascii="Times New Roman" w:hAnsi="Times New Roman" w:eastAsia="方正仿宋_GBK" w:cs="Times New Roman"/>
                <w:spacing w:val="0"/>
                <w:lang w:eastAsia="zh-CN"/>
              </w:rPr>
              <w:t>新建渝昆高铁工程昆明空港段中铁四局附属配套设施第二批临时用地土地复垦</w:t>
            </w:r>
            <w:r>
              <w:rPr>
                <w:rFonts w:hint="default" w:ascii="Times New Roman" w:hAnsi="Times New Roman" w:eastAsia="方正仿宋_GBK" w:cs="Times New Roman"/>
                <w:spacing w:val="0"/>
                <w:lang w:val="en-US" w:eastAsia="zh-CN"/>
              </w:rPr>
              <w:t>方案</w:t>
            </w:r>
          </w:p>
        </w:tc>
      </w:tr>
      <w:tr w14:paraId="62E64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533" w:type="dxa"/>
            <w:gridSpan w:val="3"/>
            <w:vAlign w:val="center"/>
          </w:tcPr>
          <w:p w14:paraId="4B3380C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建设</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单位名称</w:t>
            </w:r>
          </w:p>
        </w:tc>
        <w:tc>
          <w:tcPr>
            <w:tcW w:w="6494" w:type="dxa"/>
            <w:gridSpan w:val="2"/>
            <w:vAlign w:val="center"/>
          </w:tcPr>
          <w:p w14:paraId="4CE20F8C">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pacing w:val="0"/>
                <w:lang w:eastAsia="zh-CN"/>
              </w:rPr>
              <w:t>中铁四局集团有限公司苏州分公司渝昆高铁引入昆明枢纽工程项目经理部</w:t>
            </w:r>
          </w:p>
        </w:tc>
      </w:tr>
      <w:tr w14:paraId="4569C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533" w:type="dxa"/>
            <w:gridSpan w:val="3"/>
            <w:vAlign w:val="center"/>
          </w:tcPr>
          <w:p w14:paraId="560AB91C">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方案编制单位名称</w:t>
            </w:r>
          </w:p>
        </w:tc>
        <w:tc>
          <w:tcPr>
            <w:tcW w:w="6494" w:type="dxa"/>
            <w:gridSpan w:val="2"/>
            <w:vAlign w:val="center"/>
          </w:tcPr>
          <w:p w14:paraId="0CE371B9">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云南坤舆测绘科技有限公司</w:t>
            </w:r>
          </w:p>
        </w:tc>
      </w:tr>
      <w:tr w14:paraId="625B1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645" w:type="dxa"/>
            <w:gridSpan w:val="2"/>
            <w:vMerge w:val="restart"/>
            <w:tcBorders>
              <w:bottom w:val="nil"/>
            </w:tcBorders>
            <w:vAlign w:val="center"/>
          </w:tcPr>
          <w:p w14:paraId="7BC3A33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复垦区面积</w:t>
            </w:r>
          </w:p>
        </w:tc>
        <w:tc>
          <w:tcPr>
            <w:tcW w:w="1818" w:type="dxa"/>
            <w:gridSpan w:val="2"/>
            <w:vAlign w:val="center"/>
          </w:tcPr>
          <w:p w14:paraId="5838FDF3">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占用土地面积</w:t>
            </w:r>
          </w:p>
        </w:tc>
        <w:tc>
          <w:tcPr>
            <w:tcW w:w="5564" w:type="dxa"/>
            <w:vAlign w:val="center"/>
          </w:tcPr>
          <w:p w14:paraId="6514B2D4">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0.1335公顷</w:t>
            </w:r>
          </w:p>
        </w:tc>
      </w:tr>
      <w:tr w14:paraId="0C127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645" w:type="dxa"/>
            <w:gridSpan w:val="2"/>
            <w:vMerge w:val="continue"/>
            <w:tcBorders>
              <w:top w:val="nil"/>
            </w:tcBorders>
            <w:vAlign w:val="center"/>
          </w:tcPr>
          <w:p w14:paraId="4BE490F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p>
        </w:tc>
        <w:tc>
          <w:tcPr>
            <w:tcW w:w="1818" w:type="dxa"/>
            <w:gridSpan w:val="2"/>
            <w:vAlign w:val="center"/>
          </w:tcPr>
          <w:p w14:paraId="4435626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损毁土地面积</w:t>
            </w:r>
          </w:p>
        </w:tc>
        <w:tc>
          <w:tcPr>
            <w:tcW w:w="5564" w:type="dxa"/>
            <w:vAlign w:val="center"/>
          </w:tcPr>
          <w:p w14:paraId="2E336E5F">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3.5333公顷</w:t>
            </w:r>
          </w:p>
        </w:tc>
      </w:tr>
      <w:tr w14:paraId="61120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3463" w:type="dxa"/>
            <w:gridSpan w:val="4"/>
            <w:vAlign w:val="center"/>
          </w:tcPr>
          <w:p w14:paraId="1FA400E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方正仿宋_GBK" w:cs="Times New Roman"/>
                <w:spacing w:val="0"/>
                <w:lang w:eastAsia="zh-CN"/>
              </w:rPr>
            </w:pPr>
            <w:r>
              <w:rPr>
                <w:rFonts w:hint="default" w:ascii="Times New Roman" w:hAnsi="Times New Roman" w:eastAsia="方正仿宋_GBK" w:cs="Times New Roman"/>
                <w:spacing w:val="0"/>
              </w:rPr>
              <w:t>生产能力</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或投资规模</w:t>
            </w:r>
            <w:r>
              <w:rPr>
                <w:rFonts w:hint="eastAsia" w:ascii="Times New Roman" w:hAnsi="Times New Roman" w:eastAsia="方正仿宋_GBK" w:cs="Times New Roman"/>
                <w:spacing w:val="0"/>
                <w:lang w:val="en-US" w:eastAsia="zh-CN"/>
              </w:rPr>
              <w:t>）</w:t>
            </w:r>
          </w:p>
        </w:tc>
        <w:tc>
          <w:tcPr>
            <w:tcW w:w="5564" w:type="dxa"/>
            <w:vAlign w:val="center"/>
          </w:tcPr>
          <w:p w14:paraId="6D243D9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lang w:val="zh-CN" w:eastAsia="zh-CN"/>
              </w:rPr>
              <w:t>248.59</w:t>
            </w:r>
            <w:r>
              <w:rPr>
                <w:rFonts w:hint="default" w:ascii="Times New Roman" w:hAnsi="Times New Roman" w:eastAsia="方正仿宋_GBK" w:cs="Times New Roman"/>
                <w:spacing w:val="0"/>
              </w:rPr>
              <w:t>万元</w:t>
            </w:r>
          </w:p>
        </w:tc>
      </w:tr>
      <w:tr w14:paraId="2584A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3463" w:type="dxa"/>
            <w:gridSpan w:val="4"/>
            <w:vAlign w:val="center"/>
          </w:tcPr>
          <w:p w14:paraId="37F38A23">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生产年限</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或建设期限</w:t>
            </w:r>
            <w:r>
              <w:rPr>
                <w:rFonts w:hint="eastAsia" w:ascii="Times New Roman" w:hAnsi="Times New Roman" w:eastAsia="方正仿宋_GBK" w:cs="Times New Roman"/>
                <w:spacing w:val="0"/>
                <w:lang w:val="en-US" w:eastAsia="zh-CN"/>
              </w:rPr>
              <w:t>）</w:t>
            </w:r>
          </w:p>
        </w:tc>
        <w:tc>
          <w:tcPr>
            <w:tcW w:w="5564" w:type="dxa"/>
            <w:vAlign w:val="center"/>
          </w:tcPr>
          <w:p w14:paraId="3C63B9BB">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caps w:val="0"/>
                <w:color w:val="auto"/>
                <w:spacing w:val="0"/>
                <w:w w:val="100"/>
                <w:sz w:val="24"/>
                <w:szCs w:val="24"/>
                <w:lang w:val="en-US" w:eastAsia="zh-CN"/>
              </w:rPr>
              <w:t>2</w:t>
            </w:r>
            <w:r>
              <w:rPr>
                <w:rFonts w:hint="default" w:ascii="Times New Roman" w:hAnsi="Times New Roman" w:eastAsia="方正仿宋_GBK" w:cs="Times New Roman"/>
                <w:caps w:val="0"/>
                <w:color w:val="auto"/>
                <w:spacing w:val="0"/>
                <w:w w:val="100"/>
                <w:sz w:val="24"/>
                <w:szCs w:val="24"/>
              </w:rPr>
              <w:t>年（202</w:t>
            </w:r>
            <w:r>
              <w:rPr>
                <w:rFonts w:hint="default" w:ascii="Times New Roman" w:hAnsi="Times New Roman" w:eastAsia="方正仿宋_GBK" w:cs="Times New Roman"/>
                <w:caps w:val="0"/>
                <w:color w:val="auto"/>
                <w:spacing w:val="0"/>
                <w:w w:val="100"/>
                <w:sz w:val="24"/>
                <w:szCs w:val="24"/>
                <w:lang w:val="en-US" w:eastAsia="zh-CN"/>
              </w:rPr>
              <w:t>4</w:t>
            </w:r>
            <w:r>
              <w:rPr>
                <w:rFonts w:hint="default" w:ascii="Times New Roman" w:hAnsi="Times New Roman" w:eastAsia="方正仿宋_GBK" w:cs="Times New Roman"/>
                <w:caps w:val="0"/>
                <w:color w:val="auto"/>
                <w:spacing w:val="0"/>
                <w:w w:val="100"/>
                <w:sz w:val="24"/>
                <w:szCs w:val="24"/>
              </w:rPr>
              <w:t>年</w:t>
            </w:r>
            <w:r>
              <w:rPr>
                <w:rFonts w:hint="default" w:ascii="Times New Roman" w:hAnsi="Times New Roman" w:eastAsia="方正仿宋_GBK" w:cs="Times New Roman"/>
                <w:caps w:val="0"/>
                <w:color w:val="auto"/>
                <w:spacing w:val="0"/>
                <w:w w:val="100"/>
                <w:sz w:val="24"/>
                <w:szCs w:val="24"/>
                <w:lang w:val="en-US" w:eastAsia="zh-CN"/>
              </w:rPr>
              <w:t>4</w:t>
            </w:r>
            <w:r>
              <w:rPr>
                <w:rFonts w:hint="default" w:ascii="Times New Roman" w:hAnsi="Times New Roman" w:eastAsia="方正仿宋_GBK" w:cs="Times New Roman"/>
                <w:caps w:val="0"/>
                <w:color w:val="auto"/>
                <w:spacing w:val="0"/>
                <w:w w:val="100"/>
                <w:sz w:val="24"/>
                <w:szCs w:val="24"/>
              </w:rPr>
              <w:t>月至202</w:t>
            </w:r>
            <w:r>
              <w:rPr>
                <w:rFonts w:hint="default" w:ascii="Times New Roman" w:hAnsi="Times New Roman" w:eastAsia="方正仿宋_GBK" w:cs="Times New Roman"/>
                <w:caps w:val="0"/>
                <w:color w:val="auto"/>
                <w:spacing w:val="0"/>
                <w:w w:val="100"/>
                <w:sz w:val="24"/>
                <w:szCs w:val="24"/>
                <w:lang w:val="en-US" w:eastAsia="zh-CN"/>
              </w:rPr>
              <w:t>6</w:t>
            </w:r>
            <w:r>
              <w:rPr>
                <w:rFonts w:hint="default" w:ascii="Times New Roman" w:hAnsi="Times New Roman" w:eastAsia="方正仿宋_GBK" w:cs="Times New Roman"/>
                <w:caps w:val="0"/>
                <w:color w:val="auto"/>
                <w:spacing w:val="0"/>
                <w:w w:val="100"/>
                <w:sz w:val="24"/>
                <w:szCs w:val="24"/>
              </w:rPr>
              <w:t>年</w:t>
            </w:r>
            <w:r>
              <w:rPr>
                <w:rFonts w:hint="default" w:ascii="Times New Roman" w:hAnsi="Times New Roman" w:eastAsia="方正仿宋_GBK" w:cs="Times New Roman"/>
                <w:caps w:val="0"/>
                <w:color w:val="auto"/>
                <w:spacing w:val="0"/>
                <w:w w:val="100"/>
                <w:sz w:val="24"/>
                <w:szCs w:val="24"/>
                <w:lang w:val="en-US" w:eastAsia="zh-CN"/>
              </w:rPr>
              <w:t>3</w:t>
            </w:r>
            <w:r>
              <w:rPr>
                <w:rFonts w:hint="default" w:ascii="Times New Roman" w:hAnsi="Times New Roman" w:eastAsia="方正仿宋_GBK" w:cs="Times New Roman"/>
                <w:caps w:val="0"/>
                <w:color w:val="auto"/>
                <w:spacing w:val="0"/>
                <w:w w:val="100"/>
                <w:sz w:val="24"/>
                <w:szCs w:val="24"/>
              </w:rPr>
              <w:t>月）</w:t>
            </w:r>
          </w:p>
        </w:tc>
      </w:tr>
      <w:tr w14:paraId="42460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0" w:hRule="atLeast"/>
        </w:trPr>
        <w:tc>
          <w:tcPr>
            <w:tcW w:w="1083" w:type="dxa"/>
            <w:vAlign w:val="center"/>
          </w:tcPr>
          <w:p w14:paraId="3688EE38">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专家评审结论</w:t>
            </w:r>
          </w:p>
        </w:tc>
        <w:tc>
          <w:tcPr>
            <w:tcW w:w="7944" w:type="dxa"/>
            <w:gridSpan w:val="4"/>
            <w:vAlign w:val="top"/>
          </w:tcPr>
          <w:p w14:paraId="4C310891">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根据《土地复垦条例》</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国务院</w:t>
            </w:r>
            <w:r>
              <w:rPr>
                <w:rFonts w:hint="eastAsia" w:ascii="Times New Roman" w:hAnsi="Times New Roman" w:eastAsia="方正仿宋_GBK" w:cs="Times New Roman"/>
                <w:snapToGrid/>
                <w:spacing w:val="0"/>
                <w:sz w:val="24"/>
                <w:szCs w:val="24"/>
                <w:lang w:val="en-US" w:eastAsia="zh-CN"/>
              </w:rPr>
              <w:t>第</w:t>
            </w:r>
            <w:r>
              <w:rPr>
                <w:rFonts w:hint="default" w:ascii="Times New Roman" w:hAnsi="Times New Roman" w:eastAsia="方正仿宋_GBK" w:cs="Times New Roman"/>
                <w:snapToGrid/>
                <w:spacing w:val="0"/>
                <w:sz w:val="24"/>
                <w:szCs w:val="24"/>
                <w:lang w:eastAsia="zh-CN"/>
              </w:rPr>
              <w:t>592号</w:t>
            </w:r>
            <w:r>
              <w:rPr>
                <w:rFonts w:hint="eastAsia" w:ascii="Times New Roman" w:hAnsi="Times New Roman" w:eastAsia="方正仿宋_GBK" w:cs="Times New Roman"/>
                <w:snapToGrid/>
                <w:spacing w:val="0"/>
                <w:sz w:val="24"/>
                <w:szCs w:val="24"/>
                <w:lang w:val="en-US" w:eastAsia="zh-CN"/>
              </w:rPr>
              <w:t>令</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《土地复垦条例实施办法》《土地复垦质量控制标准》及土地开发整理工程建设标准和土地复垦相关规程。202</w:t>
            </w:r>
            <w:r>
              <w:rPr>
                <w:rFonts w:hint="default" w:ascii="Times New Roman" w:hAnsi="Times New Roman" w:eastAsia="方正仿宋_GBK" w:cs="Times New Roman"/>
                <w:snapToGrid/>
                <w:spacing w:val="0"/>
                <w:sz w:val="24"/>
                <w:szCs w:val="24"/>
                <w:lang w:val="en-US" w:eastAsia="zh-CN"/>
              </w:rPr>
              <w:t>4</w:t>
            </w:r>
            <w:r>
              <w:rPr>
                <w:rFonts w:hint="default" w:ascii="Times New Roman" w:hAnsi="Times New Roman" w:eastAsia="方正仿宋_GBK" w:cs="Times New Roman"/>
                <w:snapToGrid/>
                <w:spacing w:val="0"/>
                <w:sz w:val="24"/>
                <w:szCs w:val="24"/>
                <w:lang w:eastAsia="zh-CN"/>
              </w:rPr>
              <w:t>年</w:t>
            </w:r>
            <w:r>
              <w:rPr>
                <w:rFonts w:hint="default" w:ascii="Times New Roman" w:hAnsi="Times New Roman" w:eastAsia="方正仿宋_GBK" w:cs="Times New Roman"/>
                <w:snapToGrid/>
                <w:spacing w:val="0"/>
                <w:sz w:val="24"/>
                <w:szCs w:val="24"/>
                <w:lang w:val="en-US" w:eastAsia="zh-CN"/>
              </w:rPr>
              <w:t>3</w:t>
            </w:r>
            <w:r>
              <w:rPr>
                <w:rFonts w:hint="default" w:ascii="Times New Roman" w:hAnsi="Times New Roman" w:eastAsia="方正仿宋_GBK" w:cs="Times New Roman"/>
                <w:snapToGrid/>
                <w:spacing w:val="0"/>
                <w:sz w:val="24"/>
                <w:szCs w:val="24"/>
                <w:lang w:eastAsia="zh-CN"/>
              </w:rPr>
              <w:t>月</w:t>
            </w:r>
            <w:r>
              <w:rPr>
                <w:rFonts w:hint="default" w:ascii="Times New Roman" w:hAnsi="Times New Roman" w:eastAsia="方正仿宋_GBK" w:cs="Times New Roman"/>
                <w:snapToGrid/>
                <w:spacing w:val="0"/>
                <w:sz w:val="24"/>
                <w:szCs w:val="24"/>
                <w:lang w:val="en-US" w:eastAsia="zh-CN"/>
              </w:rPr>
              <w:t>29</w:t>
            </w:r>
            <w:r>
              <w:rPr>
                <w:rFonts w:hint="default" w:ascii="Times New Roman" w:hAnsi="Times New Roman" w:eastAsia="方正仿宋_GBK" w:cs="Times New Roman"/>
                <w:snapToGrid/>
                <w:spacing w:val="0"/>
                <w:sz w:val="24"/>
                <w:szCs w:val="24"/>
                <w:lang w:eastAsia="zh-CN"/>
              </w:rPr>
              <w:t>日，</w:t>
            </w:r>
            <w:r>
              <w:rPr>
                <w:rFonts w:hint="default" w:ascii="Times New Roman" w:hAnsi="Times New Roman" w:eastAsia="方正仿宋_GBK" w:cs="Times New Roman"/>
                <w:snapToGrid/>
                <w:spacing w:val="0"/>
                <w:sz w:val="24"/>
                <w:szCs w:val="24"/>
                <w:lang w:val="en-US" w:eastAsia="zh-CN"/>
              </w:rPr>
              <w:t>云南滇中新区自然资源规划局</w:t>
            </w:r>
            <w:r>
              <w:rPr>
                <w:rFonts w:hint="default" w:ascii="Times New Roman" w:hAnsi="Times New Roman" w:eastAsia="方正仿宋_GBK" w:cs="Times New Roman"/>
                <w:snapToGrid/>
                <w:spacing w:val="0"/>
                <w:sz w:val="24"/>
                <w:szCs w:val="24"/>
                <w:lang w:eastAsia="zh-CN"/>
              </w:rPr>
              <w:t>组织有关专家对云南坤舆测绘科技有限公司编制的“新建渝昆高铁工程昆明空港段中铁四局附属配套设施第二批临时用地</w:t>
            </w:r>
            <w:r>
              <w:rPr>
                <w:rFonts w:hint="default" w:ascii="Times New Roman" w:hAnsi="Times New Roman" w:eastAsia="方正仿宋_GBK" w:cs="Times New Roman"/>
                <w:snapToGrid/>
                <w:spacing w:val="0"/>
                <w:sz w:val="24"/>
                <w:szCs w:val="24"/>
                <w:lang w:val="en-US" w:eastAsia="zh-CN"/>
              </w:rPr>
              <w:t>土地复垦方案</w:t>
            </w:r>
            <w:r>
              <w:rPr>
                <w:rFonts w:hint="default" w:ascii="Times New Roman" w:hAnsi="Times New Roman" w:eastAsia="方正仿宋_GBK" w:cs="Times New Roman"/>
                <w:snapToGrid/>
                <w:spacing w:val="0"/>
                <w:sz w:val="24"/>
                <w:szCs w:val="24"/>
                <w:lang w:eastAsia="zh-CN"/>
              </w:rPr>
              <w:t>”进行了评审，形成如下评审意见：</w:t>
            </w:r>
          </w:p>
          <w:p w14:paraId="0DBEF6FA">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一、该复垦方案的编制基本符合《土地复垦编制规程》等相关规程的要求。</w:t>
            </w:r>
          </w:p>
          <w:p w14:paraId="588B3D52">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二、该复垦方案编制目的明确、依据充分、投资估算基本合理。</w:t>
            </w:r>
          </w:p>
          <w:p w14:paraId="145ABEFF">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三、复垦方案的编制符合土地复垦相关规程的要求，实施过程中必须严格执行《土地复垦条例》</w:t>
            </w:r>
            <w:r>
              <w:rPr>
                <w:rFonts w:hint="eastAsia" w:ascii="Times New Roman" w:hAnsi="Times New Roman" w:eastAsia="方正仿宋_GBK" w:cs="Times New Roman"/>
                <w:snapToGrid/>
                <w:spacing w:val="0"/>
                <w:sz w:val="24"/>
                <w:szCs w:val="24"/>
                <w:lang w:eastAsia="zh-CN"/>
              </w:rPr>
              <w:t>《中华人民共和国土地管理法》</w:t>
            </w:r>
            <w:r>
              <w:rPr>
                <w:rFonts w:hint="default" w:ascii="Times New Roman" w:hAnsi="Times New Roman" w:eastAsia="方正仿宋_GBK" w:cs="Times New Roman"/>
                <w:snapToGrid/>
                <w:spacing w:val="0"/>
                <w:sz w:val="24"/>
                <w:szCs w:val="24"/>
                <w:lang w:eastAsia="zh-CN"/>
              </w:rPr>
              <w:t>等相关规定进行表土剥离和集中堆放，同时需严格按照国家临时用地管理的相关规定，在批准范围内使用临时用地，并加强对耕地、林地的保护，不经批准，不得随意占用、损毁耕地和林地等作为临时用地。</w:t>
            </w:r>
          </w:p>
          <w:p w14:paraId="57D271FD">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四、复垦规划基本合理，在实施过程中应根据复垦需要调整及增加相关设施及复垦费，确保复垦工程质量。</w:t>
            </w:r>
          </w:p>
          <w:p w14:paraId="0ECE93A1">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五、项目建设单位必须根据实际损毁土地情况、采取必要有的复垦工程措施；严格履行复垦承诺，确保土地复垦工作落实到位，使复垦后的地类质量等级高于损毁前的地类等级。</w:t>
            </w:r>
          </w:p>
          <w:p w14:paraId="1622F144">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综上所述，该复垦方案的编制基本符合有关文件及土地复垦的技术规范、标准的要求，相关分析、拟损毁土地预测，复垦方案及技术措施基本合理、可行。</w:t>
            </w:r>
          </w:p>
          <w:p w14:paraId="73372DE4">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专家组原则同意通过评审，编制单位已按照专家提出的修改意见进行了修改完善，并按照规定存储了土地复垦费，可按照规定程序上报备案。</w:t>
            </w:r>
          </w:p>
          <w:p w14:paraId="3C951DDE">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color w:val="auto"/>
                <w:spacing w:val="0"/>
                <w:sz w:val="24"/>
                <w:szCs w:val="24"/>
                <w:lang w:eastAsia="zh-CN"/>
              </w:rPr>
              <w:t>中铁四局集团有限公司苏州分公司渝昆高铁引入昆明枢纽工程项目经理部和当地相关部门，尤其是环保</w:t>
            </w:r>
            <w:r>
              <w:rPr>
                <w:rFonts w:hint="default" w:ascii="Times New Roman" w:hAnsi="Times New Roman" w:eastAsia="方正仿宋_GBK" w:cs="Times New Roman"/>
                <w:snapToGrid/>
                <w:spacing w:val="0"/>
                <w:sz w:val="24"/>
                <w:szCs w:val="24"/>
                <w:lang w:eastAsia="zh-CN"/>
              </w:rPr>
              <w:t>部门应针对</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等临时用地进行监管，需严格按照《土地复垦条例》要求进行表土剥离和堆放，同时，应严格按照自然资源部对临时用地管理要求，加强项目临时用地的管理，加强</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生产过程、堆放过程中的管理，避免对周边生态环境的影响，如对周边环境生产不良影响，业主方应及时对损毁土地进行土地复垦、生态治理与恢复。业主单位应明确复垦责任人，确保措施落实，并使复垦后的各种地类标准不得低于国家《土地复垦质量控制标准》的相关要求，保障项目区周边群众的合法利益不受侵害，满足土地复垦方案制定的任务目标要求。在实施过程中应接受各级自然资源管理部门的监督和检查。复垦区所在地自然资源</w:t>
            </w:r>
            <w:r>
              <w:rPr>
                <w:rFonts w:hint="default" w:ascii="Times New Roman" w:hAnsi="Times New Roman" w:eastAsia="方正仿宋_GBK" w:cs="Times New Roman"/>
                <w:snapToGrid/>
                <w:spacing w:val="0"/>
                <w:sz w:val="24"/>
                <w:szCs w:val="24"/>
                <w:lang w:val="en-US" w:eastAsia="zh-CN"/>
              </w:rPr>
              <w:t>管理部门</w:t>
            </w:r>
            <w:r>
              <w:rPr>
                <w:rFonts w:hint="default" w:ascii="Times New Roman" w:hAnsi="Times New Roman" w:eastAsia="方正仿宋_GBK" w:cs="Times New Roman"/>
                <w:snapToGrid/>
                <w:spacing w:val="0"/>
                <w:sz w:val="24"/>
                <w:szCs w:val="24"/>
                <w:lang w:eastAsia="zh-CN"/>
              </w:rPr>
              <w:t>应加强对复垦工作的监督管理，确保复垦措施和复垦责任的落实，同时，挖损、压占等临时用地未经主管部门批准不得随意占用耕地，项目临时用地时间、性质、规模、地点、范围或用途等发生变化，需按相关规定和要求重新组织编报土地复垦方案或对原土地复垦方案进行修订，报原审查单位审查并备案。</w:t>
            </w:r>
          </w:p>
          <w:p w14:paraId="198A514C">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14:paraId="7BEAB69C">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14:paraId="2F496F82">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14:paraId="56840386">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napToGrid/>
                <w:color w:val="000000"/>
                <w:spacing w:val="0"/>
                <w:sz w:val="24"/>
                <w:szCs w:val="24"/>
                <w:lang w:val="en-US" w:eastAsia="zh-CN" w:bidi="ar-SA"/>
              </w:rPr>
              <w:t>专家组组长签名：  章正军                      2024 年  4 月 29 日</w:t>
            </w:r>
          </w:p>
        </w:tc>
      </w:tr>
    </w:tbl>
    <w:p w14:paraId="3CE89B5E">
      <w:pPr>
        <w:rPr>
          <w:lang w:eastAsia="zh-CN"/>
        </w:rPr>
        <w:sectPr>
          <w:pgSz w:w="11907" w:h="16839"/>
          <w:pgMar w:top="1431" w:right="1639" w:bottom="0" w:left="1368" w:header="0" w:footer="0" w:gutter="0"/>
          <w:cols w:space="720" w:num="1"/>
        </w:sectPr>
      </w:pPr>
    </w:p>
    <w:p w14:paraId="4B471CC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center"/>
        <w:textAlignment w:val="baseline"/>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pacing w:val="7"/>
          <w:sz w:val="31"/>
          <w:szCs w:val="31"/>
          <w:lang w:eastAsia="zh-CN"/>
        </w:rPr>
        <w:t>新建渝昆高铁工程昆明空港段中铁四局附属配套设施第二批临时用地土地复垦方案专家组名单</w:t>
      </w:r>
    </w:p>
    <w:tbl>
      <w:tblPr>
        <w:tblStyle w:val="4"/>
        <w:tblW w:w="891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3409"/>
        <w:gridCol w:w="3488"/>
      </w:tblGrid>
      <w:tr w14:paraId="71255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016" w:type="dxa"/>
            <w:vAlign w:val="center"/>
          </w:tcPr>
          <w:p w14:paraId="74A705E6">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5"/>
                <w:sz w:val="24"/>
                <w:szCs w:val="24"/>
              </w:rPr>
              <w:t>姓名</w:t>
            </w:r>
          </w:p>
        </w:tc>
        <w:tc>
          <w:tcPr>
            <w:tcW w:w="3409" w:type="dxa"/>
            <w:vAlign w:val="center"/>
          </w:tcPr>
          <w:p w14:paraId="02E0B38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3"/>
                <w:sz w:val="24"/>
                <w:szCs w:val="24"/>
              </w:rPr>
              <w:t>工作单位</w:t>
            </w:r>
          </w:p>
        </w:tc>
        <w:tc>
          <w:tcPr>
            <w:tcW w:w="3488" w:type="dxa"/>
            <w:vAlign w:val="center"/>
          </w:tcPr>
          <w:p w14:paraId="6DB596D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职称/职务</w:t>
            </w:r>
          </w:p>
        </w:tc>
      </w:tr>
      <w:tr w14:paraId="6015F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016" w:type="dxa"/>
            <w:vAlign w:val="center"/>
          </w:tcPr>
          <w:p w14:paraId="2A6660D5">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章正军</w:t>
            </w:r>
          </w:p>
        </w:tc>
        <w:tc>
          <w:tcPr>
            <w:tcW w:w="3409" w:type="dxa"/>
            <w:vAlign w:val="center"/>
          </w:tcPr>
          <w:p w14:paraId="36C30F31">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云南省自然资源厅土地开发整理中心</w:t>
            </w:r>
          </w:p>
        </w:tc>
        <w:tc>
          <w:tcPr>
            <w:tcW w:w="3488" w:type="dxa"/>
            <w:vAlign w:val="center"/>
          </w:tcPr>
          <w:p w14:paraId="3D94CA5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3"/>
                <w:sz w:val="24"/>
                <w:szCs w:val="24"/>
              </w:rPr>
              <w:t>教</w:t>
            </w:r>
            <w:r>
              <w:rPr>
                <w:rFonts w:hint="default" w:ascii="Times New Roman" w:hAnsi="Times New Roman" w:eastAsia="方正仿宋_GBK" w:cs="Times New Roman"/>
                <w:spacing w:val="-3"/>
                <w:sz w:val="24"/>
                <w:szCs w:val="24"/>
                <w:lang w:val="en-US" w:eastAsia="zh-CN"/>
              </w:rPr>
              <w:t>高</w:t>
            </w:r>
          </w:p>
        </w:tc>
      </w:tr>
      <w:tr w14:paraId="290BF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016" w:type="dxa"/>
            <w:vAlign w:val="center"/>
          </w:tcPr>
          <w:p w14:paraId="2F93E61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李建刚</w:t>
            </w:r>
          </w:p>
        </w:tc>
        <w:tc>
          <w:tcPr>
            <w:tcW w:w="3409" w:type="dxa"/>
            <w:vAlign w:val="center"/>
          </w:tcPr>
          <w:p w14:paraId="4A405A9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昆明市国土规划勘察测绘研究院（昆明市不动产权籍调查中心）</w:t>
            </w:r>
          </w:p>
        </w:tc>
        <w:tc>
          <w:tcPr>
            <w:tcW w:w="3488" w:type="dxa"/>
            <w:vAlign w:val="center"/>
          </w:tcPr>
          <w:p w14:paraId="75FC384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val="en-US" w:eastAsia="zh-CN"/>
              </w:rPr>
              <w:t>高工</w:t>
            </w:r>
          </w:p>
        </w:tc>
      </w:tr>
      <w:tr w14:paraId="1F12E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016" w:type="dxa"/>
            <w:vAlign w:val="center"/>
          </w:tcPr>
          <w:p w14:paraId="338D122F">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吴宁</w:t>
            </w:r>
          </w:p>
        </w:tc>
        <w:tc>
          <w:tcPr>
            <w:tcW w:w="3409" w:type="dxa"/>
            <w:shd w:val="clear" w:color="auto" w:fill="auto"/>
            <w:vAlign w:val="center"/>
          </w:tcPr>
          <w:p w14:paraId="5D07BD67">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昆明科地土地技术咨询有限公司</w:t>
            </w:r>
          </w:p>
        </w:tc>
        <w:tc>
          <w:tcPr>
            <w:tcW w:w="3488" w:type="dxa"/>
            <w:vAlign w:val="center"/>
          </w:tcPr>
          <w:p w14:paraId="4FE838DD">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4"/>
                <w:sz w:val="24"/>
                <w:szCs w:val="24"/>
              </w:rPr>
              <w:t>高工</w:t>
            </w:r>
          </w:p>
        </w:tc>
      </w:tr>
      <w:tr w14:paraId="07E10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2016" w:type="dxa"/>
            <w:vAlign w:val="center"/>
          </w:tcPr>
          <w:p w14:paraId="14D3D786">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吴霞</w:t>
            </w:r>
          </w:p>
        </w:tc>
        <w:tc>
          <w:tcPr>
            <w:tcW w:w="3409" w:type="dxa"/>
            <w:shd w:val="clear" w:color="auto" w:fill="auto"/>
            <w:vAlign w:val="center"/>
          </w:tcPr>
          <w:p w14:paraId="0953B1EF">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云南省林业调查规划院</w:t>
            </w:r>
          </w:p>
        </w:tc>
        <w:tc>
          <w:tcPr>
            <w:tcW w:w="3488" w:type="dxa"/>
            <w:vAlign w:val="center"/>
          </w:tcPr>
          <w:p w14:paraId="75AC4E57">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eastAsia="zh-CN"/>
              </w:rPr>
              <w:t>高工</w:t>
            </w:r>
          </w:p>
        </w:tc>
      </w:tr>
      <w:tr w14:paraId="6E53C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2016" w:type="dxa"/>
            <w:vAlign w:val="center"/>
          </w:tcPr>
          <w:p w14:paraId="126FF9D9">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王娟</w:t>
            </w:r>
          </w:p>
        </w:tc>
        <w:tc>
          <w:tcPr>
            <w:tcW w:w="3409" w:type="dxa"/>
            <w:shd w:val="clear" w:color="auto" w:fill="auto"/>
            <w:vAlign w:val="center"/>
          </w:tcPr>
          <w:p w14:paraId="26ABCA58">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昆明兴地农业科技咨询服务有限公司</w:t>
            </w:r>
          </w:p>
        </w:tc>
        <w:tc>
          <w:tcPr>
            <w:tcW w:w="3488" w:type="dxa"/>
            <w:vAlign w:val="center"/>
          </w:tcPr>
          <w:p w14:paraId="2BCE629F">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eastAsia="zh-CN"/>
              </w:rPr>
              <w:t>高工</w:t>
            </w:r>
          </w:p>
        </w:tc>
      </w:tr>
    </w:tbl>
    <w:p w14:paraId="74A8A754"/>
    <w:sectPr>
      <w:pgSz w:w="11907" w:h="16839"/>
      <w:pgMar w:top="1431" w:right="1639" w:bottom="0" w:left="136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I1YzEzNjdjNmQ0ZTdhZDg3ZjZkZjc4MTlkOTVhZWYifQ=="/>
  </w:docVars>
  <w:rsids>
    <w:rsidRoot w:val="0069219E"/>
    <w:rsid w:val="0035667D"/>
    <w:rsid w:val="003627CA"/>
    <w:rsid w:val="003C5CCF"/>
    <w:rsid w:val="0069219E"/>
    <w:rsid w:val="00F43175"/>
    <w:rsid w:val="0EA46413"/>
    <w:rsid w:val="10F419E7"/>
    <w:rsid w:val="143A08AF"/>
    <w:rsid w:val="1504288A"/>
    <w:rsid w:val="21ED3737"/>
    <w:rsid w:val="25BB24BA"/>
    <w:rsid w:val="27EB1976"/>
    <w:rsid w:val="2D006753"/>
    <w:rsid w:val="353B4DCC"/>
    <w:rsid w:val="3E067624"/>
    <w:rsid w:val="41CD14E5"/>
    <w:rsid w:val="520C449B"/>
    <w:rsid w:val="524D6516"/>
    <w:rsid w:val="53C005F6"/>
    <w:rsid w:val="57407FB9"/>
    <w:rsid w:val="5ED02679"/>
    <w:rsid w:val="633232B9"/>
    <w:rsid w:val="691A1B39"/>
    <w:rsid w:val="6BA24442"/>
    <w:rsid w:val="6C844972"/>
    <w:rsid w:val="6F2E56B0"/>
    <w:rsid w:val="70B15EA6"/>
    <w:rsid w:val="728A1DA7"/>
    <w:rsid w:val="775E0326"/>
    <w:rsid w:val="791C0A5C"/>
    <w:rsid w:val="7D481C39"/>
    <w:rsid w:val="7FB33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Unicode MS" w:hAnsi="Arial Unicode MS" w:eastAsia="Arial Unicode MS" w:cs="Arial Unicode MS"/>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1503</Words>
  <Characters>1534</Characters>
  <Lines>11</Lines>
  <Paragraphs>3</Paragraphs>
  <TotalTime>4</TotalTime>
  <ScaleCrop>false</ScaleCrop>
  <LinksUpToDate>false</LinksUpToDate>
  <CharactersWithSpaces>1564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2023-04-27T13:30:00Z</dcterms:created>
  <dc:creator>lenovo</dc:creator>
  <cp:lastModifiedBy>WPS_1525332042</cp:lastModifiedBy>
  <cp:lastPrinted>2024-05-11T04:16:00Z</cp:lastPrinted>
  <dcterms:modified xsi:type="dcterms:W3CDTF">2024-12-21T09:51:29Z</dcterms:modified>
  <dc:title>土地复垦方案评审表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2023-09-24T09:39:29Z</vt:filetime>
  </property>
  <property fmtid="{D5CDD505-2E9C-101B-9397-08002B2CF9AE}" pid="4" name="KSOProductBuildVer">
    <vt:lpwstr>2052-12.1.0.19302</vt:lpwstr>
  </property>
  <property fmtid="{D5CDD505-2E9C-101B-9397-08002B2CF9AE}" pid="5" name="ICV">
    <vt:lpwstr>B783D05A2A424424AE7E710265FE4CA3_13</vt:lpwstr>
  </property>
</Properties>
</file>