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29E1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hAnsi="方正小标宋_GBK" w:eastAsia="方正小标宋_GBK" w:cs="方正小标宋_GBK"/>
          <w:color w:val="auto"/>
          <w:sz w:val="44"/>
          <w:szCs w:val="44"/>
          <w:highlight w:val="none"/>
          <w:lang w:val="en-US" w:eastAsia="zh-CN"/>
        </w:rPr>
      </w:pPr>
      <w:bookmarkStart w:id="23" w:name="_GoBack"/>
      <w:r>
        <w:rPr>
          <w:rFonts w:hint="eastAsia" w:ascii="方正小标宋_GBK" w:hAnsi="方正小标宋_GBK" w:eastAsia="方正小标宋_GBK" w:cs="方正小标宋_GBK"/>
          <w:color w:val="auto"/>
          <w:sz w:val="44"/>
          <w:szCs w:val="44"/>
          <w:highlight w:val="none"/>
          <w:lang w:val="en-US" w:eastAsia="zh-CN"/>
        </w:rPr>
        <w:t>云南成品油管道昆明支线改线工程临时</w:t>
      </w:r>
    </w:p>
    <w:p w14:paraId="0978BFD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用地土地复垦方案</w:t>
      </w:r>
    </w:p>
    <w:p w14:paraId="4363381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（公示稿）</w:t>
      </w:r>
    </w:p>
    <w:bookmarkEnd w:id="23"/>
    <w:p w14:paraId="5930586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黑体" w:cs="Times New Roman"/>
          <w:color w:val="auto"/>
          <w:sz w:val="36"/>
          <w:szCs w:val="40"/>
          <w:highlight w:val="none"/>
          <w:lang w:val="en-US" w:eastAsia="zh-CN"/>
        </w:rPr>
      </w:pPr>
    </w:p>
    <w:p w14:paraId="4F252E9F">
      <w:pPr>
        <w:spacing w:line="360" w:lineRule="auto"/>
        <w:ind w:firstLine="0" w:firstLineChars="0"/>
        <w:jc w:val="center"/>
        <w:rPr>
          <w:rFonts w:hint="eastAsia" w:ascii="Times New Roman" w:hAnsi="Times New Roman" w:eastAsia="黑体" w:cs="Times New Roman"/>
          <w:color w:val="auto"/>
          <w:sz w:val="36"/>
          <w:szCs w:val="40"/>
          <w:highlight w:val="none"/>
          <w:lang w:val="en-US" w:eastAsia="zh-CN"/>
        </w:rPr>
      </w:pPr>
    </w:p>
    <w:p w14:paraId="791D8466">
      <w:pPr>
        <w:spacing w:line="360" w:lineRule="auto"/>
        <w:ind w:firstLine="0" w:firstLineChars="0"/>
        <w:jc w:val="center"/>
        <w:rPr>
          <w:rFonts w:hint="eastAsia" w:ascii="Times New Roman" w:hAnsi="Times New Roman" w:eastAsia="黑体" w:cs="Times New Roman"/>
          <w:color w:val="auto"/>
          <w:sz w:val="36"/>
          <w:szCs w:val="40"/>
          <w:highlight w:val="none"/>
          <w:lang w:val="en-US" w:eastAsia="zh-CN"/>
        </w:rPr>
      </w:pPr>
    </w:p>
    <w:p w14:paraId="6EF97735">
      <w:pPr>
        <w:spacing w:line="360" w:lineRule="auto"/>
        <w:ind w:firstLine="0" w:firstLineChars="0"/>
        <w:jc w:val="center"/>
        <w:rPr>
          <w:rFonts w:hint="eastAsia" w:ascii="Times New Roman" w:hAnsi="Times New Roman" w:eastAsia="黑体" w:cs="Times New Roman"/>
          <w:color w:val="auto"/>
          <w:sz w:val="36"/>
          <w:szCs w:val="40"/>
          <w:highlight w:val="none"/>
          <w:lang w:val="en-US" w:eastAsia="zh-CN"/>
        </w:rPr>
      </w:pPr>
    </w:p>
    <w:p w14:paraId="0F965CDA">
      <w:pPr>
        <w:spacing w:line="360" w:lineRule="auto"/>
        <w:ind w:firstLine="0" w:firstLineChars="0"/>
        <w:jc w:val="center"/>
        <w:rPr>
          <w:rFonts w:hint="eastAsia" w:ascii="Times New Roman" w:hAnsi="Times New Roman" w:eastAsia="黑体" w:cs="Times New Roman"/>
          <w:color w:val="auto"/>
          <w:sz w:val="36"/>
          <w:szCs w:val="40"/>
          <w:highlight w:val="none"/>
          <w:lang w:val="en-US" w:eastAsia="zh-CN"/>
        </w:rPr>
      </w:pPr>
    </w:p>
    <w:p w14:paraId="70F9FA23">
      <w:pPr>
        <w:spacing w:line="360" w:lineRule="auto"/>
        <w:ind w:firstLine="0" w:firstLineChars="0"/>
        <w:jc w:val="center"/>
        <w:rPr>
          <w:rFonts w:hint="eastAsia" w:ascii="Times New Roman" w:hAnsi="Times New Roman" w:eastAsia="黑体" w:cs="Times New Roman"/>
          <w:color w:val="auto"/>
          <w:sz w:val="36"/>
          <w:szCs w:val="40"/>
          <w:highlight w:val="none"/>
          <w:lang w:val="en-US" w:eastAsia="zh-CN"/>
        </w:rPr>
      </w:pPr>
    </w:p>
    <w:p w14:paraId="5BAB9067">
      <w:pPr>
        <w:spacing w:line="360" w:lineRule="auto"/>
        <w:ind w:firstLine="0" w:firstLineChars="0"/>
        <w:jc w:val="center"/>
        <w:rPr>
          <w:rFonts w:hint="eastAsia" w:ascii="Times New Roman" w:hAnsi="Times New Roman" w:eastAsia="黑体" w:cs="Times New Roman"/>
          <w:color w:val="auto"/>
          <w:sz w:val="36"/>
          <w:szCs w:val="40"/>
          <w:highlight w:val="none"/>
          <w:lang w:val="en-US" w:eastAsia="zh-CN"/>
        </w:rPr>
      </w:pPr>
    </w:p>
    <w:p w14:paraId="07886D10">
      <w:pPr>
        <w:spacing w:line="360" w:lineRule="auto"/>
        <w:ind w:firstLine="0" w:firstLineChars="0"/>
        <w:jc w:val="center"/>
        <w:rPr>
          <w:rFonts w:hint="eastAsia" w:ascii="Times New Roman" w:hAnsi="Times New Roman" w:eastAsia="黑体" w:cs="Times New Roman"/>
          <w:color w:val="auto"/>
          <w:sz w:val="36"/>
          <w:szCs w:val="40"/>
          <w:highlight w:val="none"/>
          <w:lang w:val="en-US" w:eastAsia="zh-CN"/>
        </w:rPr>
      </w:pPr>
    </w:p>
    <w:p w14:paraId="2A1C91EE">
      <w:pPr>
        <w:spacing w:line="360" w:lineRule="auto"/>
        <w:ind w:firstLine="0" w:firstLineChars="0"/>
        <w:jc w:val="center"/>
        <w:rPr>
          <w:rFonts w:hint="eastAsia" w:ascii="Times New Roman" w:hAnsi="Times New Roman" w:eastAsia="黑体" w:cs="Times New Roman"/>
          <w:color w:val="auto"/>
          <w:sz w:val="36"/>
          <w:szCs w:val="40"/>
          <w:highlight w:val="none"/>
          <w:lang w:val="en-US" w:eastAsia="zh-CN"/>
        </w:rPr>
      </w:pPr>
    </w:p>
    <w:p w14:paraId="1CEB584B">
      <w:pPr>
        <w:spacing w:line="360" w:lineRule="auto"/>
        <w:ind w:firstLine="0" w:firstLineChars="0"/>
        <w:jc w:val="center"/>
        <w:rPr>
          <w:rFonts w:hint="eastAsia" w:ascii="Times New Roman" w:hAnsi="Times New Roman" w:eastAsia="黑体" w:cs="Times New Roman"/>
          <w:color w:val="auto"/>
          <w:sz w:val="36"/>
          <w:szCs w:val="40"/>
          <w:highlight w:val="none"/>
          <w:lang w:val="en-US" w:eastAsia="zh-CN"/>
        </w:rPr>
      </w:pPr>
    </w:p>
    <w:p w14:paraId="6B3DEB5C">
      <w:pPr>
        <w:spacing w:line="360" w:lineRule="auto"/>
        <w:ind w:firstLine="0" w:firstLineChars="0"/>
        <w:jc w:val="center"/>
        <w:rPr>
          <w:rFonts w:hint="eastAsia" w:ascii="Times New Roman" w:hAnsi="Times New Roman" w:eastAsia="黑体" w:cs="Times New Roman"/>
          <w:color w:val="auto"/>
          <w:sz w:val="36"/>
          <w:szCs w:val="40"/>
          <w:highlight w:val="none"/>
          <w:lang w:val="en-US" w:eastAsia="zh-CN"/>
        </w:rPr>
      </w:pPr>
    </w:p>
    <w:p w14:paraId="3EC2188D">
      <w:pPr>
        <w:spacing w:line="360" w:lineRule="auto"/>
        <w:ind w:firstLine="0" w:firstLineChars="0"/>
        <w:jc w:val="center"/>
        <w:rPr>
          <w:rFonts w:hint="eastAsia" w:ascii="Times New Roman" w:hAnsi="Times New Roman" w:eastAsia="黑体" w:cs="Times New Roman"/>
          <w:color w:val="auto"/>
          <w:sz w:val="36"/>
          <w:szCs w:val="40"/>
          <w:highlight w:val="none"/>
          <w:lang w:val="en-US" w:eastAsia="zh-CN"/>
        </w:rPr>
      </w:pPr>
    </w:p>
    <w:p w14:paraId="6FFEFEB4">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方正黑体_GBK" w:hAnsi="方正黑体_GBK" w:eastAsia="方正黑体_GBK" w:cs="方正黑体_GBK"/>
          <w:color w:val="auto"/>
          <w:sz w:val="36"/>
          <w:szCs w:val="40"/>
          <w:highlight w:val="none"/>
          <w:lang w:val="en-US" w:eastAsia="zh-CN"/>
        </w:rPr>
      </w:pPr>
      <w:r>
        <w:rPr>
          <w:rFonts w:hint="eastAsia" w:ascii="方正黑体_GBK" w:hAnsi="方正黑体_GBK" w:eastAsia="方正黑体_GBK" w:cs="方正黑体_GBK"/>
          <w:color w:val="auto"/>
          <w:sz w:val="30"/>
          <w:szCs w:val="30"/>
          <w:highlight w:val="none"/>
        </w:rPr>
        <w:t>项目单位：</w:t>
      </w:r>
      <w:r>
        <w:rPr>
          <w:rFonts w:hint="eastAsia" w:ascii="方正黑体_GBK" w:hAnsi="方正黑体_GBK" w:eastAsia="方正黑体_GBK" w:cs="方正黑体_GBK"/>
          <w:color w:val="auto"/>
          <w:sz w:val="30"/>
          <w:szCs w:val="30"/>
          <w:highlight w:val="none"/>
          <w:lang w:val="en-US" w:eastAsia="zh-CN"/>
        </w:rPr>
        <w:t>国家管网集团西南管道有限责任公司昆明输油气分司</w:t>
      </w:r>
    </w:p>
    <w:p w14:paraId="7DB7016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color w:val="auto"/>
          <w:sz w:val="30"/>
          <w:szCs w:val="30"/>
          <w:highlight w:val="none"/>
        </w:rPr>
      </w:pPr>
      <w:r>
        <w:rPr>
          <w:rFonts w:hint="eastAsia" w:ascii="方正黑体_GBK" w:hAnsi="方正黑体_GBK" w:eastAsia="方正黑体_GBK" w:cs="方正黑体_GBK"/>
          <w:color w:val="auto"/>
          <w:sz w:val="30"/>
          <w:szCs w:val="30"/>
          <w:highlight w:val="none"/>
        </w:rPr>
        <w:t>编制单位：云南坤舆测绘科技有限公司</w:t>
      </w:r>
    </w:p>
    <w:p w14:paraId="473F6EB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color w:val="auto"/>
          <w:sz w:val="30"/>
          <w:szCs w:val="30"/>
          <w:highlight w:val="none"/>
        </w:rPr>
      </w:pPr>
      <w:r>
        <w:rPr>
          <w:rFonts w:hint="eastAsia" w:ascii="方正黑体_GBK" w:hAnsi="方正黑体_GBK" w:eastAsia="方正黑体_GBK" w:cs="方正黑体_GBK"/>
          <w:color w:val="auto"/>
          <w:sz w:val="30"/>
          <w:szCs w:val="30"/>
          <w:highlight w:val="none"/>
          <w:lang w:eastAsia="zh-CN"/>
        </w:rPr>
        <w:t>编制日期：</w:t>
      </w:r>
      <w:r>
        <w:rPr>
          <w:rFonts w:hint="eastAsia" w:ascii="方正黑体_GBK" w:hAnsi="方正黑体_GBK" w:eastAsia="方正黑体_GBK" w:cs="方正黑体_GBK"/>
          <w:color w:val="auto"/>
          <w:sz w:val="30"/>
          <w:szCs w:val="30"/>
          <w:highlight w:val="none"/>
        </w:rPr>
        <w:t>二〇二</w:t>
      </w:r>
      <w:r>
        <w:rPr>
          <w:rFonts w:hint="eastAsia" w:ascii="方正黑体_GBK" w:hAnsi="方正黑体_GBK" w:eastAsia="方正黑体_GBK" w:cs="方正黑体_GBK"/>
          <w:color w:val="auto"/>
          <w:sz w:val="30"/>
          <w:szCs w:val="30"/>
          <w:highlight w:val="none"/>
          <w:lang w:eastAsia="zh-CN"/>
        </w:rPr>
        <w:t>四</w:t>
      </w:r>
      <w:r>
        <w:rPr>
          <w:rFonts w:hint="eastAsia" w:ascii="方正黑体_GBK" w:hAnsi="方正黑体_GBK" w:eastAsia="方正黑体_GBK" w:cs="方正黑体_GBK"/>
          <w:color w:val="auto"/>
          <w:sz w:val="30"/>
          <w:szCs w:val="30"/>
          <w:highlight w:val="none"/>
        </w:rPr>
        <w:t>年</w:t>
      </w:r>
      <w:r>
        <w:rPr>
          <w:rFonts w:hint="eastAsia" w:ascii="方正黑体_GBK" w:hAnsi="方正黑体_GBK" w:eastAsia="方正黑体_GBK" w:cs="方正黑体_GBK"/>
          <w:color w:val="auto"/>
          <w:sz w:val="30"/>
          <w:szCs w:val="30"/>
          <w:highlight w:val="none"/>
          <w:lang w:eastAsia="zh-CN"/>
        </w:rPr>
        <w:t>一</w:t>
      </w:r>
      <w:r>
        <w:rPr>
          <w:rFonts w:hint="eastAsia" w:ascii="方正黑体_GBK" w:hAnsi="方正黑体_GBK" w:eastAsia="方正黑体_GBK" w:cs="方正黑体_GBK"/>
          <w:color w:val="auto"/>
          <w:sz w:val="30"/>
          <w:szCs w:val="30"/>
          <w:highlight w:val="none"/>
        </w:rPr>
        <w:t>月</w:t>
      </w:r>
    </w:p>
    <w:p w14:paraId="46DFE425">
      <w:pPr>
        <w:keepNext w:val="0"/>
        <w:keepLines w:val="0"/>
        <w:pageBreakBefore w:val="0"/>
        <w:widowControl w:val="0"/>
        <w:kinsoku/>
        <w:wordWrap/>
        <w:overflowPunct/>
        <w:topLinePunct w:val="0"/>
        <w:autoSpaceDE/>
        <w:autoSpaceDN/>
        <w:bidi w:val="0"/>
        <w:adjustRightInd/>
        <w:snapToGrid/>
        <w:spacing w:line="560" w:lineRule="exact"/>
        <w:textAlignment w:val="auto"/>
      </w:pPr>
    </w:p>
    <w:p w14:paraId="08E6EA35"/>
    <w:p w14:paraId="3C8743AE"/>
    <w:p w14:paraId="7E28BAE0"/>
    <w:p w14:paraId="0405C545">
      <w:pPr>
        <w:sectPr>
          <w:pgSz w:w="11906" w:h="16838"/>
          <w:pgMar w:top="1440" w:right="1800" w:bottom="1440" w:left="1800" w:header="851" w:footer="992" w:gutter="0"/>
          <w:pgNumType w:fmt="decimal"/>
          <w:cols w:space="425" w:num="1"/>
          <w:docGrid w:type="lines" w:linePitch="312" w:charSpace="0"/>
        </w:sectPr>
      </w:pPr>
    </w:p>
    <w:p w14:paraId="62D3A2FF">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sz w:val="32"/>
          <w:szCs w:val="32"/>
        </w:rPr>
      </w:pPr>
      <w:bookmarkStart w:id="0" w:name="_Toc14122"/>
      <w:bookmarkStart w:id="1" w:name="_Toc128579823"/>
      <w:r>
        <w:rPr>
          <w:rFonts w:hint="eastAsia" w:ascii="方正黑体_GBK" w:hAnsi="方正黑体_GBK" w:eastAsia="方正黑体_GBK" w:cs="方正黑体_GBK"/>
          <w:b w:val="0"/>
          <w:sz w:val="32"/>
          <w:szCs w:val="32"/>
          <w:lang w:val="en-US" w:eastAsia="zh-CN"/>
        </w:rPr>
        <w:t>第一部分 项目编制背景</w:t>
      </w:r>
    </w:p>
    <w:p w14:paraId="2509EB0E">
      <w:pPr>
        <w:pStyle w:val="10"/>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黑体_GBK" w:hAnsi="方正黑体_GBK" w:eastAsia="方正黑体_GBK" w:cs="方正黑体_GBK"/>
          <w:b w:val="0"/>
          <w:bCs w:val="0"/>
          <w:sz w:val="30"/>
        </w:rPr>
      </w:pPr>
      <w:r>
        <w:rPr>
          <w:rFonts w:hint="eastAsia" w:ascii="方正黑体_GBK" w:hAnsi="方正黑体_GBK" w:eastAsia="方正黑体_GBK" w:cs="方正黑体_GBK"/>
          <w:b w:val="0"/>
          <w:bCs w:val="0"/>
          <w:sz w:val="30"/>
          <w:lang w:eastAsia="zh-CN"/>
        </w:rPr>
        <w:t>一、</w:t>
      </w:r>
      <w:r>
        <w:rPr>
          <w:rFonts w:hint="eastAsia" w:ascii="方正黑体_GBK" w:hAnsi="方正黑体_GBK" w:eastAsia="方正黑体_GBK" w:cs="方正黑体_GBK"/>
          <w:b w:val="0"/>
          <w:bCs w:val="0"/>
          <w:sz w:val="30"/>
        </w:rPr>
        <w:t>编制背景</w:t>
      </w:r>
      <w:bookmarkEnd w:id="0"/>
      <w:bookmarkEnd w:id="1"/>
    </w:p>
    <w:p w14:paraId="26DFC686">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该工程项目属于云南成品油管道工程安宁-曲靖干线中的一条支线，云南成品油管道工程安宁-曲靖干线昆明支线起点位于昆明市寻甸县昆明分输站，线路出分输站沿东川铁路向南，经过嵩明县匡郎村附近沿曲嵩高速向西，穿越嵩待高速后，沿昆曲高速向西南至滇中新区境内的昆明末站，线路长度约80km，设置工艺站场1座（昆明末站），线路阀室3座，管径D406.4mm，设计压力8MPa，一般段线路管道壁厚6.4mm，设计输168×104t。本改线工程管径D406.4mm，设计压力8MPa，改线段位于3#阀室与昆明末站之间，改线段距3#阀室10.699km，距昆明末站4.653km，起于K73+780处，止于K77+880处。改线段在役管道全长约4.2km，改线后全长约4.1km，线路缩短约0.1km。乡村道路穿越11处，无其它大、中型穿越及站场、阀室改扩建项目。本改线工程采用技术成熟的输送工艺流程，在满足生产要求的情况下，兼顾近、远期发展、整体规划；设备材料选型尽量国产化，工艺设备选型符合安全、高效、节能和环保要求。总体技术水平与昆明支线原设计保持一致。</w:t>
      </w:r>
    </w:p>
    <w:p w14:paraId="71A15E9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昆明长水机场扩建工程将建设东二、西二、西三跑道，长度均4000m，以及相应的平滑、绕滑、联络滑等滑行道系统，机坪、服务车道、围场路系统，铺筑面面积约812万m²；建设T2航站楼及其卫星厅，总面积85万m²。昆明长水机场扩建工程中除机场跑道、航站楼建设外，为保证起、降飞行安全的相关要求，对超高区域进行净空处理，并对净空区内的超出标准要求的山体进行爆破拆除，昆明长水机场第一批临时用地（项目交叉部分净空处理区）已于4月29取得相关备案表，云南成品油管道部分区域位于昆明长水机场扩建工程超高净空处理的范围内，所以需要进行改线。</w:t>
      </w:r>
    </w:p>
    <w:p w14:paraId="190801E7">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该项目于2018年4月13日，由昆明市人民政府组织相关单位首次召开长水机场改扩建工程联席会。2019年4月22日，昆明市人民政府再次组织召开昆明长水机场改扩建工程联席会，明确云南机场集团有限责任公司出具征地红线图和净空处理影响范围，同年7月14日，项目初步可研完毕，项目迁改4.2公里，新建长度约5公里，由于费用未落实，可研报告未审核。2021年1月21日，云南省政府办公室组织召开机场建设项目推进会，会议决定昆明长水机场扩建涉及几家输油、输电线路改迁项目，由资产方负责牵头实施，费用采取先垫资后结算的方式进行实施。会后多次与滇中新区管委会、昆明市交通运输局、昆明市能源局等部门进行沟通，经多次协调达成一致意见，采取先签订协议支付相关改线款项后再开展改线工作。2023年12月4日取得昆明市发展和改革委员会《关于云南成品油管道昆明支线改线工程项目核准的批复》，2023年11月17日取得《关于云南成品油管道昆明文线改线工程</w:t>
      </w:r>
      <w:r>
        <w:rPr>
          <w:rFonts w:hint="eastAsia" w:ascii="Times New Roman" w:hAnsi="Times New Roman" w:eastAsia="方正仿宋_GBK" w:cs="Times New Roman"/>
          <w:color w:val="auto"/>
          <w:kern w:val="2"/>
          <w:sz w:val="24"/>
          <w:szCs w:val="24"/>
          <w:lang w:val="en-US" w:eastAsia="zh-CN" w:bidi="ar-SA"/>
        </w:rPr>
        <w:t>项目</w:t>
      </w:r>
      <w:r>
        <w:rPr>
          <w:rFonts w:hint="default" w:ascii="Times New Roman" w:hAnsi="Times New Roman" w:eastAsia="方正仿宋_GBK" w:cs="Times New Roman"/>
          <w:color w:val="auto"/>
          <w:kern w:val="2"/>
          <w:sz w:val="24"/>
          <w:szCs w:val="24"/>
          <w:lang w:val="en-US" w:eastAsia="zh-CN" w:bidi="ar-SA"/>
        </w:rPr>
        <w:t>可行性研究报告的批复》。</w:t>
      </w:r>
    </w:p>
    <w:p w14:paraId="11103104">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云南成品油管道昆明支线改线工程临时用地总面积5.2245公顷，本项目临时用地范围叠加官渡区国土空间总体规划“三区三线划定成果得出本项目涉及永久基本农田0.2983公顷，2023年11月28日云南滇中新区自然资源规划局组织了关于“</w:t>
      </w:r>
      <w:bookmarkStart w:id="2" w:name="_Toc31580"/>
      <w:bookmarkStart w:id="3" w:name="_Toc8135"/>
      <w:bookmarkStart w:id="4" w:name="_Toc11611"/>
      <w:bookmarkStart w:id="5" w:name="_Toc5834"/>
      <w:r>
        <w:rPr>
          <w:rFonts w:hint="default" w:ascii="Times New Roman" w:hAnsi="Times New Roman" w:eastAsia="方正仿宋_GBK" w:cs="Times New Roman"/>
          <w:color w:val="auto"/>
          <w:kern w:val="2"/>
          <w:sz w:val="24"/>
          <w:szCs w:val="24"/>
          <w:lang w:val="en-US" w:eastAsia="zh-CN" w:bidi="ar-SA"/>
        </w:rPr>
        <w:t>云南成品油管道昆明支线改线工程临时用地土地复垦方案</w:t>
      </w:r>
      <w:bookmarkEnd w:id="2"/>
      <w:bookmarkEnd w:id="3"/>
      <w:bookmarkEnd w:id="4"/>
      <w:bookmarkEnd w:id="5"/>
      <w:bookmarkStart w:id="6" w:name="_Toc30797"/>
      <w:bookmarkStart w:id="7" w:name="_Toc8608"/>
      <w:bookmarkStart w:id="8" w:name="_Toc16327"/>
      <w:bookmarkStart w:id="9" w:name="_Toc11088"/>
      <w:r>
        <w:rPr>
          <w:rFonts w:hint="default" w:ascii="Times New Roman" w:hAnsi="Times New Roman" w:eastAsia="方正仿宋_GBK" w:cs="Times New Roman"/>
          <w:color w:val="auto"/>
          <w:kern w:val="2"/>
          <w:sz w:val="24"/>
          <w:szCs w:val="24"/>
          <w:lang w:val="en-US" w:eastAsia="zh-CN" w:bidi="ar-SA"/>
        </w:rPr>
        <w:t>涉及临时占用永久基本农田</w:t>
      </w:r>
      <w:bookmarkStart w:id="10" w:name="_Toc24463"/>
      <w:bookmarkStart w:id="11" w:name="_Toc4109"/>
      <w:bookmarkStart w:id="12" w:name="_Toc16672"/>
      <w:bookmarkStart w:id="13" w:name="_Toc25812"/>
      <w:bookmarkStart w:id="14" w:name="_Toc13037"/>
      <w:r>
        <w:rPr>
          <w:rFonts w:hint="default" w:ascii="Times New Roman" w:hAnsi="Times New Roman" w:eastAsia="方正仿宋_GBK" w:cs="Times New Roman"/>
          <w:color w:val="auto"/>
          <w:kern w:val="2"/>
          <w:sz w:val="24"/>
          <w:szCs w:val="24"/>
          <w:lang w:val="en-US" w:eastAsia="zh-CN" w:bidi="ar-SA"/>
        </w:rPr>
        <w:t>论证专章</w:t>
      </w:r>
      <w:bookmarkEnd w:id="6"/>
      <w:bookmarkEnd w:id="7"/>
      <w:bookmarkEnd w:id="8"/>
      <w:bookmarkEnd w:id="9"/>
      <w:bookmarkEnd w:id="10"/>
      <w:bookmarkEnd w:id="11"/>
      <w:bookmarkEnd w:id="12"/>
      <w:bookmarkEnd w:id="13"/>
      <w:bookmarkEnd w:id="14"/>
      <w:r>
        <w:rPr>
          <w:rFonts w:hint="default" w:ascii="Times New Roman" w:hAnsi="Times New Roman" w:eastAsia="方正仿宋_GBK" w:cs="Times New Roman"/>
          <w:color w:val="auto"/>
          <w:kern w:val="2"/>
          <w:sz w:val="24"/>
          <w:szCs w:val="24"/>
          <w:lang w:val="en-US" w:eastAsia="zh-CN" w:bidi="ar-SA"/>
        </w:rPr>
        <w:t>”的专家评审会，对云南成品油管道昆明支线改线工程临时用地土地复垦方案涉及临时占用永久基本农田的专章进行合理性、必要性的分析；各个专家、编制单位、设计单位及相关部门进行了实地踏勘，并提出了宝贵的意见。</w:t>
      </w:r>
    </w:p>
    <w:p w14:paraId="7AB0B545">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据《勘界资料》，本项目云南成品油管道昆明支线改线工程临时用地共涉及6个地块，地块1：1#材料堆场，地块2、3、4、6：地下管线敷设作业，地块5：2#材料堆场。</w:t>
      </w:r>
    </w:p>
    <w:p w14:paraId="76773930">
      <w:pPr>
        <w:pStyle w:val="10"/>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方正黑体_GBK" w:hAnsi="方正黑体_GBK" w:eastAsia="方正黑体_GBK" w:cs="方正黑体_GBK"/>
          <w:b w:val="0"/>
          <w:bCs w:val="0"/>
          <w:sz w:val="30"/>
          <w:lang w:val="en-US" w:eastAsia="zh-CN"/>
        </w:rPr>
      </w:pPr>
      <w:r>
        <w:rPr>
          <w:rFonts w:hint="eastAsia" w:ascii="方正黑体_GBK" w:hAnsi="方正黑体_GBK" w:eastAsia="方正黑体_GBK" w:cs="方正黑体_GBK"/>
          <w:b w:val="0"/>
          <w:bCs w:val="0"/>
          <w:sz w:val="30"/>
          <w:lang w:val="en-US" w:eastAsia="zh-CN"/>
        </w:rPr>
        <w:t>二、</w:t>
      </w:r>
      <w:r>
        <w:rPr>
          <w:rFonts w:hint="default" w:ascii="方正黑体_GBK" w:hAnsi="方正黑体_GBK" w:eastAsia="方正黑体_GBK" w:cs="方正黑体_GBK"/>
          <w:b w:val="0"/>
          <w:bCs w:val="0"/>
          <w:sz w:val="30"/>
          <w:lang w:val="en-US" w:eastAsia="zh-CN"/>
        </w:rPr>
        <w:t>编制目的</w:t>
      </w:r>
    </w:p>
    <w:p w14:paraId="62C72377">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zh-CN" w:eastAsia="zh-CN" w:bidi="ar-SA"/>
        </w:rPr>
      </w:pPr>
      <w:r>
        <w:rPr>
          <w:rFonts w:hint="default" w:ascii="Times New Roman" w:hAnsi="Times New Roman" w:eastAsia="方正仿宋_GBK" w:cs="Times New Roman"/>
          <w:color w:val="auto"/>
          <w:kern w:val="2"/>
          <w:sz w:val="24"/>
          <w:szCs w:val="24"/>
          <w:lang w:val="zh-CN" w:eastAsia="zh-CN" w:bidi="ar-SA"/>
        </w:rPr>
        <w:t>编制《</w:t>
      </w:r>
      <w:r>
        <w:rPr>
          <w:rFonts w:hint="eastAsia" w:ascii="Times New Roman" w:hAnsi="Times New Roman" w:eastAsia="方正仿宋_GBK" w:cs="Times New Roman"/>
          <w:color w:val="auto"/>
          <w:kern w:val="2"/>
          <w:sz w:val="24"/>
          <w:szCs w:val="24"/>
          <w:lang w:val="en-US" w:eastAsia="zh-CN" w:bidi="ar-SA"/>
        </w:rPr>
        <w:t>云南成品油管道昆明支线改线工程临时用地</w:t>
      </w:r>
      <w:r>
        <w:rPr>
          <w:rFonts w:hint="default" w:ascii="Times New Roman" w:hAnsi="Times New Roman" w:eastAsia="方正仿宋_GBK" w:cs="Times New Roman"/>
          <w:color w:val="auto"/>
          <w:kern w:val="2"/>
          <w:sz w:val="24"/>
          <w:szCs w:val="24"/>
          <w:lang w:val="en-US" w:eastAsia="zh-CN" w:bidi="ar-SA"/>
        </w:rPr>
        <w:t>土地</w:t>
      </w:r>
      <w:r>
        <w:rPr>
          <w:rFonts w:hint="eastAsia" w:ascii="Times New Roman" w:hAnsi="Times New Roman" w:eastAsia="方正仿宋_GBK" w:cs="Times New Roman"/>
          <w:color w:val="auto"/>
          <w:kern w:val="2"/>
          <w:sz w:val="24"/>
          <w:szCs w:val="24"/>
          <w:lang w:val="en-US" w:eastAsia="zh-CN" w:bidi="ar-SA"/>
        </w:rPr>
        <w:t>复垦方案</w:t>
      </w:r>
      <w:r>
        <w:rPr>
          <w:rFonts w:hint="default" w:ascii="Times New Roman" w:hAnsi="Times New Roman" w:eastAsia="方正仿宋_GBK" w:cs="Times New Roman"/>
          <w:color w:val="auto"/>
          <w:kern w:val="2"/>
          <w:sz w:val="24"/>
          <w:szCs w:val="24"/>
          <w:lang w:val="zh-CN" w:eastAsia="zh-CN" w:bidi="ar-SA"/>
        </w:rPr>
        <w:t>》的目的在于贯彻落实《关于加强生产建设项目土地</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管理工作的通知》</w:t>
      </w:r>
      <w:r>
        <w:rPr>
          <w:rFonts w:hint="eastAsia" w:ascii="Times New Roman" w:hAnsi="Times New Roman" w:eastAsia="方正仿宋_GBK" w:cs="Times New Roman"/>
          <w:color w:val="auto"/>
          <w:kern w:val="2"/>
          <w:sz w:val="24"/>
          <w:szCs w:val="24"/>
          <w:lang w:val="zh-CN" w:eastAsia="zh-CN" w:bidi="ar-SA"/>
        </w:rPr>
        <w:t>（</w:t>
      </w:r>
      <w:r>
        <w:rPr>
          <w:rFonts w:hint="default" w:ascii="Times New Roman" w:hAnsi="Times New Roman" w:eastAsia="方正仿宋_GBK" w:cs="Times New Roman"/>
          <w:color w:val="auto"/>
          <w:kern w:val="2"/>
          <w:sz w:val="24"/>
          <w:szCs w:val="24"/>
          <w:lang w:val="zh-CN" w:eastAsia="zh-CN" w:bidi="ar-SA"/>
        </w:rPr>
        <w:t>国土资发</w:t>
      </w:r>
      <w:r>
        <w:rPr>
          <w:rFonts w:hint="eastAsia" w:ascii="Times New Roman" w:hAnsi="Times New Roman" w:eastAsia="方正仿宋_GBK" w:cs="Times New Roman"/>
          <w:color w:val="auto"/>
          <w:kern w:val="2"/>
          <w:sz w:val="24"/>
          <w:szCs w:val="24"/>
          <w:lang w:val="zh-CN" w:eastAsia="zh-CN" w:bidi="ar-SA"/>
        </w:rPr>
        <w:t>〔</w:t>
      </w:r>
      <w:r>
        <w:rPr>
          <w:rFonts w:hint="default" w:ascii="Times New Roman" w:hAnsi="Times New Roman" w:eastAsia="方正仿宋_GBK" w:cs="Times New Roman"/>
          <w:color w:val="auto"/>
          <w:kern w:val="2"/>
          <w:sz w:val="24"/>
          <w:szCs w:val="24"/>
          <w:lang w:val="zh-CN" w:eastAsia="zh-CN" w:bidi="ar-SA"/>
        </w:rPr>
        <w:t>2006</w:t>
      </w:r>
      <w:r>
        <w:rPr>
          <w:rFonts w:hint="eastAsia" w:ascii="Times New Roman" w:hAnsi="Times New Roman" w:eastAsia="方正仿宋_GBK" w:cs="Times New Roman"/>
          <w:color w:val="auto"/>
          <w:kern w:val="2"/>
          <w:sz w:val="24"/>
          <w:szCs w:val="24"/>
          <w:lang w:val="zh-CN" w:eastAsia="zh-CN" w:bidi="ar-SA"/>
        </w:rPr>
        <w:t>〕</w:t>
      </w:r>
      <w:r>
        <w:rPr>
          <w:rFonts w:hint="default" w:ascii="Times New Roman" w:hAnsi="Times New Roman" w:eastAsia="方正仿宋_GBK" w:cs="Times New Roman"/>
          <w:color w:val="auto"/>
          <w:kern w:val="2"/>
          <w:sz w:val="24"/>
          <w:szCs w:val="24"/>
          <w:lang w:val="zh-CN" w:eastAsia="zh-CN" w:bidi="ar-SA"/>
        </w:rPr>
        <w:t>225号）文件精神，认真履行</w:t>
      </w:r>
      <w:r>
        <w:rPr>
          <w:rFonts w:hint="eastAsia" w:ascii="Times New Roman" w:hAnsi="Times New Roman" w:eastAsia="方正仿宋_GBK" w:cs="Times New Roman"/>
          <w:color w:val="auto"/>
          <w:kern w:val="2"/>
          <w:sz w:val="24"/>
          <w:szCs w:val="24"/>
          <w:lang w:val="zh-CN" w:eastAsia="zh-CN" w:bidi="ar-SA"/>
        </w:rPr>
        <w:t>《中华人民共和国土地管理法实施条例》</w:t>
      </w:r>
      <w:r>
        <w:rPr>
          <w:rFonts w:hint="default" w:ascii="Times New Roman" w:hAnsi="Times New Roman" w:eastAsia="方正仿宋_GBK" w:cs="Times New Roman"/>
          <w:color w:val="auto"/>
          <w:kern w:val="2"/>
          <w:sz w:val="24"/>
          <w:szCs w:val="24"/>
          <w:lang w:val="zh-CN" w:eastAsia="zh-CN" w:bidi="ar-SA"/>
        </w:rPr>
        <w:t>及《土地</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条例</w:t>
      </w:r>
      <w:r>
        <w:rPr>
          <w:rFonts w:hint="eastAsia" w:ascii="Times New Roman" w:hAnsi="Times New Roman" w:eastAsia="方正仿宋_GBK" w:cs="Times New Roman"/>
          <w:color w:val="auto"/>
          <w:kern w:val="2"/>
          <w:sz w:val="24"/>
          <w:szCs w:val="24"/>
          <w:lang w:val="zh-CN" w:eastAsia="zh-CN" w:bidi="ar-SA"/>
        </w:rPr>
        <w:t>实施办法</w:t>
      </w:r>
      <w:r>
        <w:rPr>
          <w:rFonts w:hint="default" w:ascii="Times New Roman" w:hAnsi="Times New Roman" w:eastAsia="方正仿宋_GBK" w:cs="Times New Roman"/>
          <w:color w:val="auto"/>
          <w:kern w:val="2"/>
          <w:sz w:val="24"/>
          <w:szCs w:val="24"/>
          <w:lang w:val="zh-CN" w:eastAsia="zh-CN" w:bidi="ar-SA"/>
        </w:rPr>
        <w:t>》等相关法律法规。通过对</w:t>
      </w:r>
      <w:r>
        <w:rPr>
          <w:rFonts w:hint="eastAsia" w:ascii="Times New Roman" w:hAnsi="Times New Roman" w:eastAsia="方正仿宋_GBK" w:cs="Times New Roman"/>
          <w:color w:val="auto"/>
          <w:kern w:val="2"/>
          <w:sz w:val="24"/>
          <w:szCs w:val="24"/>
          <w:lang w:val="en-US" w:eastAsia="zh-CN" w:bidi="ar-SA"/>
        </w:rPr>
        <w:t>云南成品油管道昆明支线改线工程临时用地</w:t>
      </w:r>
      <w:r>
        <w:rPr>
          <w:rFonts w:hint="default" w:ascii="Times New Roman" w:hAnsi="Times New Roman" w:eastAsia="方正仿宋_GBK" w:cs="Times New Roman"/>
          <w:color w:val="auto"/>
          <w:kern w:val="2"/>
          <w:sz w:val="24"/>
          <w:szCs w:val="24"/>
          <w:lang w:val="zh-CN" w:eastAsia="zh-CN" w:bidi="ar-SA"/>
        </w:rPr>
        <w:t>所涉及的土地利用现状的调查论证，对其</w:t>
      </w:r>
      <w:r>
        <w:rPr>
          <w:rFonts w:hint="eastAsia" w:ascii="Times New Roman" w:hAnsi="Times New Roman" w:eastAsia="方正仿宋_GBK" w:cs="Times New Roman"/>
          <w:color w:val="auto"/>
          <w:kern w:val="2"/>
          <w:sz w:val="24"/>
          <w:szCs w:val="24"/>
          <w:lang w:val="zh-CN" w:eastAsia="zh-CN" w:bidi="ar-SA"/>
        </w:rPr>
        <w:t>“</w:t>
      </w:r>
      <w:r>
        <w:rPr>
          <w:rFonts w:hint="default" w:ascii="Times New Roman" w:hAnsi="Times New Roman" w:eastAsia="方正仿宋_GBK" w:cs="Times New Roman"/>
          <w:color w:val="auto"/>
          <w:kern w:val="2"/>
          <w:sz w:val="24"/>
          <w:szCs w:val="24"/>
          <w:lang w:val="zh-CN" w:eastAsia="zh-CN" w:bidi="ar-SA"/>
        </w:rPr>
        <w:t>在建设过程中，因挖损、压占、占用、污染等造成损毁的土地，采取整治措施，使其恢复到可供利用状态</w:t>
      </w:r>
      <w:r>
        <w:rPr>
          <w:rFonts w:hint="eastAsia" w:ascii="Times New Roman" w:hAnsi="Times New Roman" w:eastAsia="方正仿宋_GBK" w:cs="Times New Roman"/>
          <w:color w:val="auto"/>
          <w:kern w:val="2"/>
          <w:sz w:val="24"/>
          <w:szCs w:val="24"/>
          <w:lang w:val="zh-CN" w:eastAsia="zh-CN" w:bidi="ar-SA"/>
        </w:rPr>
        <w:t>”</w:t>
      </w:r>
      <w:r>
        <w:rPr>
          <w:rFonts w:hint="default" w:ascii="Times New Roman" w:hAnsi="Times New Roman" w:eastAsia="方正仿宋_GBK" w:cs="Times New Roman"/>
          <w:color w:val="auto"/>
          <w:kern w:val="2"/>
          <w:sz w:val="24"/>
          <w:szCs w:val="24"/>
          <w:lang w:val="zh-CN" w:eastAsia="zh-CN" w:bidi="ar-SA"/>
        </w:rPr>
        <w:t>；按照</w:t>
      </w:r>
      <w:r>
        <w:rPr>
          <w:rFonts w:hint="eastAsia" w:ascii="Times New Roman" w:hAnsi="Times New Roman" w:eastAsia="方正仿宋_GBK" w:cs="Times New Roman"/>
          <w:color w:val="auto"/>
          <w:kern w:val="2"/>
          <w:sz w:val="24"/>
          <w:szCs w:val="24"/>
          <w:lang w:val="zh-CN" w:eastAsia="zh-CN" w:bidi="ar-SA"/>
        </w:rPr>
        <w:t>“</w:t>
      </w:r>
      <w:r>
        <w:rPr>
          <w:rFonts w:hint="default" w:ascii="Times New Roman" w:hAnsi="Times New Roman" w:eastAsia="方正仿宋_GBK" w:cs="Times New Roman"/>
          <w:color w:val="auto"/>
          <w:kern w:val="2"/>
          <w:sz w:val="24"/>
          <w:szCs w:val="24"/>
          <w:lang w:val="zh-CN" w:eastAsia="zh-CN" w:bidi="ar-SA"/>
        </w:rPr>
        <w:t>谁损毁、谁</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的原则，制订建设单位土地</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的目标、任务、措施和计划，保证珍惜和合理利用每一寸土地，改善生态环境，实现土地资源可持续利用，促进经济、社会和环境的和谐发展，为指导和规范工程建设及土地</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等后续工作提供依据。</w:t>
      </w:r>
    </w:p>
    <w:p w14:paraId="740A8A13">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zh-CN" w:eastAsia="zh-CN" w:bidi="ar-SA"/>
        </w:rPr>
      </w:pPr>
      <w:r>
        <w:rPr>
          <w:rFonts w:hint="eastAsia" w:ascii="Times New Roman" w:hAnsi="Times New Roman" w:eastAsia="方正仿宋_GBK" w:cs="Times New Roman"/>
          <w:color w:val="auto"/>
          <w:kern w:val="2"/>
          <w:sz w:val="24"/>
          <w:szCs w:val="24"/>
          <w:lang w:val="en-US" w:eastAsia="zh-CN" w:bidi="ar-SA"/>
        </w:rPr>
        <w:t>云</w:t>
      </w:r>
      <w:r>
        <w:rPr>
          <w:rFonts w:hint="default" w:ascii="Times New Roman" w:hAnsi="Times New Roman" w:eastAsia="方正仿宋_GBK" w:cs="Times New Roman"/>
          <w:color w:val="auto"/>
          <w:kern w:val="2"/>
          <w:sz w:val="24"/>
          <w:szCs w:val="24"/>
          <w:lang w:val="zh-CN" w:eastAsia="zh-CN" w:bidi="ar-SA"/>
        </w:rPr>
        <w:t>南成品油管道昆明支线改线工程项目属于配套长水机场改扩建工程项目的重大基础建设项目，长水机场改扩建工程项目属于国家级重点建设项目，本项目属于长水机场改扩建工程项目的附属工程，输油管道迁改是保障长水机场改扩建顺利推进和后续安全运行的保障。根据建设项目所在区域的自然环境与社会发展情况，全面考虑建设过程对土地资源的影响，</w:t>
      </w:r>
      <w:r>
        <w:rPr>
          <w:rFonts w:hint="eastAsia" w:ascii="Times New Roman" w:hAnsi="Times New Roman" w:eastAsia="方正仿宋_GBK" w:cs="Times New Roman"/>
          <w:color w:val="auto"/>
          <w:kern w:val="2"/>
          <w:sz w:val="24"/>
          <w:szCs w:val="24"/>
          <w:lang w:val="en-US" w:eastAsia="zh-CN" w:bidi="ar-SA"/>
        </w:rPr>
        <w:t>同时需</w:t>
      </w:r>
      <w:r>
        <w:rPr>
          <w:rFonts w:hint="default" w:ascii="Times New Roman" w:hAnsi="Times New Roman" w:eastAsia="方正仿宋_GBK" w:cs="Times New Roman"/>
          <w:color w:val="auto"/>
          <w:kern w:val="2"/>
          <w:sz w:val="24"/>
          <w:szCs w:val="24"/>
          <w:lang w:val="zh-CN" w:eastAsia="zh-CN" w:bidi="ar-SA"/>
        </w:rPr>
        <w:t>使建设活动符合规划的要求；针对建设活动过程中可能产生的对土地的损毁做出预测，提出相应的治理措施，保护土地并合理利用土地资源，保障当地社会经济持续发展。各项工作任务和要求如下：</w:t>
      </w:r>
    </w:p>
    <w:p w14:paraId="146598B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zh-CN" w:eastAsia="zh-CN" w:bidi="ar-SA"/>
        </w:rPr>
      </w:pPr>
      <w:r>
        <w:rPr>
          <w:rFonts w:hint="default" w:ascii="Times New Roman" w:hAnsi="Times New Roman" w:eastAsia="方正仿宋_GBK" w:cs="Times New Roman"/>
          <w:color w:val="auto"/>
          <w:kern w:val="2"/>
          <w:sz w:val="24"/>
          <w:szCs w:val="24"/>
          <w:lang w:val="zh-CN" w:eastAsia="zh-CN" w:bidi="ar-SA"/>
        </w:rPr>
        <w:t>1）根据现场踏勘，对</w:t>
      </w:r>
      <w:r>
        <w:rPr>
          <w:rFonts w:hint="eastAsia" w:ascii="Times New Roman" w:hAnsi="Times New Roman" w:eastAsia="方正仿宋_GBK" w:cs="Times New Roman"/>
          <w:color w:val="auto"/>
          <w:kern w:val="2"/>
          <w:sz w:val="24"/>
          <w:szCs w:val="24"/>
          <w:lang w:val="en-US" w:eastAsia="zh-CN" w:bidi="ar-SA"/>
        </w:rPr>
        <w:t>云南成品油管道昆明支线改线工程临时用地</w:t>
      </w:r>
      <w:r>
        <w:rPr>
          <w:rFonts w:hint="default" w:ascii="Times New Roman" w:hAnsi="Times New Roman" w:eastAsia="方正仿宋_GBK" w:cs="Times New Roman"/>
          <w:color w:val="auto"/>
          <w:kern w:val="2"/>
          <w:sz w:val="24"/>
          <w:szCs w:val="24"/>
          <w:lang w:val="en-US" w:eastAsia="zh-CN" w:bidi="ar-SA"/>
        </w:rPr>
        <w:t>土</w:t>
      </w:r>
      <w:r>
        <w:rPr>
          <w:rFonts w:hint="eastAsia" w:ascii="Times New Roman" w:hAnsi="Times New Roman" w:eastAsia="方正仿宋_GBK" w:cs="Times New Roman"/>
          <w:color w:val="auto"/>
          <w:kern w:val="2"/>
          <w:sz w:val="24"/>
          <w:szCs w:val="24"/>
          <w:lang w:val="en-US" w:eastAsia="zh-CN" w:bidi="ar-SA"/>
        </w:rPr>
        <w:t>地拟</w:t>
      </w:r>
      <w:r>
        <w:rPr>
          <w:rFonts w:hint="default" w:ascii="Times New Roman" w:hAnsi="Times New Roman" w:eastAsia="方正仿宋_GBK" w:cs="Times New Roman"/>
          <w:color w:val="auto"/>
          <w:kern w:val="2"/>
          <w:sz w:val="24"/>
          <w:szCs w:val="24"/>
          <w:lang w:val="zh-CN" w:eastAsia="zh-CN" w:bidi="ar-SA"/>
        </w:rPr>
        <w:t>损毁土地的现状、周边自然环境、植被、土壤等各项要素进行调查，对各类土地的</w:t>
      </w:r>
      <w:r>
        <w:rPr>
          <w:rFonts w:hint="eastAsia" w:ascii="Times New Roman" w:hAnsi="Times New Roman" w:eastAsia="方正仿宋_GBK" w:cs="Times New Roman"/>
          <w:color w:val="auto"/>
          <w:kern w:val="2"/>
          <w:sz w:val="24"/>
          <w:szCs w:val="24"/>
          <w:lang w:val="zh-CN" w:eastAsia="zh-CN" w:bidi="ar-SA"/>
        </w:rPr>
        <w:t>拟</w:t>
      </w:r>
      <w:r>
        <w:rPr>
          <w:rFonts w:hint="default" w:ascii="Times New Roman" w:hAnsi="Times New Roman" w:eastAsia="方正仿宋_GBK" w:cs="Times New Roman"/>
          <w:color w:val="auto"/>
          <w:kern w:val="2"/>
          <w:sz w:val="24"/>
          <w:szCs w:val="24"/>
          <w:lang w:val="zh-CN" w:eastAsia="zh-CN" w:bidi="ar-SA"/>
        </w:rPr>
        <w:t>损毁范围和</w:t>
      </w:r>
      <w:r>
        <w:rPr>
          <w:rFonts w:hint="eastAsia" w:ascii="Times New Roman" w:hAnsi="Times New Roman" w:eastAsia="方正仿宋_GBK" w:cs="Times New Roman"/>
          <w:color w:val="auto"/>
          <w:kern w:val="2"/>
          <w:sz w:val="24"/>
          <w:szCs w:val="24"/>
          <w:lang w:val="zh-CN" w:eastAsia="zh-CN" w:bidi="ar-SA"/>
        </w:rPr>
        <w:t>拟</w:t>
      </w:r>
      <w:r>
        <w:rPr>
          <w:rFonts w:hint="default" w:ascii="Times New Roman" w:hAnsi="Times New Roman" w:eastAsia="方正仿宋_GBK" w:cs="Times New Roman"/>
          <w:color w:val="auto"/>
          <w:kern w:val="2"/>
          <w:sz w:val="24"/>
          <w:szCs w:val="24"/>
          <w:lang w:val="zh-CN" w:eastAsia="zh-CN" w:bidi="ar-SA"/>
        </w:rPr>
        <w:t>损毁程度做出预测，量算并统计各类被损毁土地的面积。</w:t>
      </w:r>
    </w:p>
    <w:p w14:paraId="741D6C3F">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zh-CN" w:eastAsia="zh-CN" w:bidi="ar-SA"/>
        </w:rPr>
      </w:pPr>
      <w:r>
        <w:rPr>
          <w:rFonts w:hint="default" w:ascii="Times New Roman" w:hAnsi="Times New Roman" w:eastAsia="方正仿宋_GBK" w:cs="Times New Roman"/>
          <w:color w:val="auto"/>
          <w:kern w:val="2"/>
          <w:sz w:val="24"/>
          <w:szCs w:val="24"/>
          <w:lang w:val="zh-CN" w:eastAsia="zh-CN" w:bidi="ar-SA"/>
        </w:rPr>
        <w:t>2）根据调查和预测结果，统计分析明确</w:t>
      </w:r>
      <w:r>
        <w:rPr>
          <w:rFonts w:hint="eastAsia" w:ascii="Times New Roman" w:hAnsi="Times New Roman" w:eastAsia="方正仿宋_GBK" w:cs="Times New Roman"/>
          <w:color w:val="auto"/>
          <w:kern w:val="2"/>
          <w:sz w:val="24"/>
          <w:szCs w:val="24"/>
          <w:lang w:val="en-US" w:eastAsia="zh-CN" w:bidi="ar-SA"/>
        </w:rPr>
        <w:t>云南成品油管道昆明支线改线工程临时用地</w:t>
      </w:r>
      <w:r>
        <w:rPr>
          <w:rFonts w:hint="default" w:ascii="Times New Roman" w:hAnsi="Times New Roman" w:eastAsia="方正仿宋_GBK" w:cs="Times New Roman"/>
          <w:color w:val="auto"/>
          <w:kern w:val="2"/>
          <w:sz w:val="24"/>
          <w:szCs w:val="24"/>
          <w:lang w:val="zh-CN" w:eastAsia="zh-CN" w:bidi="ar-SA"/>
        </w:rPr>
        <w:t>的</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责任范围，并根据各类土地的损毁时序、损毁性质和损毁程度，规划其</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时间和</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后的利用类型。</w:t>
      </w:r>
    </w:p>
    <w:p w14:paraId="13D4D536">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zh-CN" w:eastAsia="zh-CN" w:bidi="ar-SA"/>
        </w:rPr>
      </w:pPr>
      <w:r>
        <w:rPr>
          <w:rFonts w:hint="default" w:ascii="Times New Roman" w:hAnsi="Times New Roman" w:eastAsia="方正仿宋_GBK" w:cs="Times New Roman"/>
          <w:color w:val="auto"/>
          <w:kern w:val="2"/>
          <w:sz w:val="24"/>
          <w:szCs w:val="24"/>
          <w:lang w:val="zh-CN" w:eastAsia="zh-CN" w:bidi="ar-SA"/>
        </w:rPr>
        <w:t>3）根据土地</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的技术规范及相关要求、</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工艺，明确要求达到的技术标准和技术参数，对损毁的土地做出</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规划方案。计算</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工程量，提出</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工程的投资估算。</w:t>
      </w:r>
    </w:p>
    <w:p w14:paraId="0CD32450">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zh-CN" w:eastAsia="zh-CN" w:bidi="ar-SA"/>
        </w:rPr>
      </w:pPr>
      <w:r>
        <w:rPr>
          <w:rFonts w:hint="default" w:ascii="Times New Roman" w:hAnsi="Times New Roman" w:eastAsia="方正仿宋_GBK" w:cs="Times New Roman"/>
          <w:color w:val="auto"/>
          <w:kern w:val="2"/>
          <w:sz w:val="24"/>
          <w:szCs w:val="24"/>
          <w:lang w:val="zh-CN" w:eastAsia="zh-CN" w:bidi="ar-SA"/>
        </w:rPr>
        <w:t>4）根据相关政策要求、技术规范、</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规划方向，计算土地</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的工程量，对土地</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投资进行估算以及土地</w:t>
      </w:r>
      <w:r>
        <w:rPr>
          <w:rFonts w:hint="eastAsia" w:ascii="Times New Roman" w:hAnsi="Times New Roman" w:eastAsia="方正仿宋_GBK" w:cs="Times New Roman"/>
          <w:color w:val="auto"/>
          <w:kern w:val="2"/>
          <w:sz w:val="24"/>
          <w:szCs w:val="24"/>
          <w:lang w:val="zh-CN" w:eastAsia="zh-CN" w:bidi="ar-SA"/>
        </w:rPr>
        <w:t>复垦</w:t>
      </w:r>
      <w:r>
        <w:rPr>
          <w:rFonts w:hint="default" w:ascii="Times New Roman" w:hAnsi="Times New Roman" w:eastAsia="方正仿宋_GBK" w:cs="Times New Roman"/>
          <w:color w:val="auto"/>
          <w:kern w:val="2"/>
          <w:sz w:val="24"/>
          <w:szCs w:val="24"/>
          <w:lang w:val="zh-CN" w:eastAsia="zh-CN" w:bidi="ar-SA"/>
        </w:rPr>
        <w:t>工作计划的安排。</w:t>
      </w:r>
    </w:p>
    <w:p w14:paraId="42A545F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0"/>
        <w:rPr>
          <w:rFonts w:ascii="仿宋" w:hAnsi="仿宋" w:eastAsia="仿宋" w:cs="仿宋"/>
          <w:b/>
          <w:bCs/>
          <w:color w:val="000000"/>
          <w:kern w:val="0"/>
          <w:sz w:val="28"/>
          <w:szCs w:val="28"/>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4995F5B0">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sz w:val="32"/>
          <w:szCs w:val="32"/>
          <w:lang w:val="en-US" w:eastAsia="zh-CN"/>
        </w:rPr>
      </w:pPr>
      <w:r>
        <w:rPr>
          <w:rFonts w:hint="eastAsia" w:ascii="方正黑体_GBK" w:hAnsi="方正黑体_GBK" w:eastAsia="方正黑体_GBK" w:cs="方正黑体_GBK"/>
          <w:b w:val="0"/>
          <w:sz w:val="32"/>
          <w:szCs w:val="32"/>
          <w:lang w:val="en-US" w:eastAsia="zh-CN"/>
        </w:rPr>
        <w:t>第二部分 土地复垦方案基本情况表</w:t>
      </w:r>
    </w:p>
    <w:tbl>
      <w:tblPr>
        <w:tblStyle w:val="5"/>
        <w:tblW w:w="8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20"/>
        <w:gridCol w:w="1158"/>
        <w:gridCol w:w="306"/>
        <w:gridCol w:w="357"/>
        <w:gridCol w:w="710"/>
        <w:gridCol w:w="728"/>
        <w:gridCol w:w="215"/>
        <w:gridCol w:w="631"/>
        <w:gridCol w:w="34"/>
        <w:gridCol w:w="434"/>
        <w:gridCol w:w="944"/>
        <w:gridCol w:w="312"/>
        <w:gridCol w:w="171"/>
        <w:gridCol w:w="267"/>
        <w:gridCol w:w="1926"/>
      </w:tblGrid>
      <w:tr w14:paraId="0CAF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723" w:type="dxa"/>
            <w:gridSpan w:val="2"/>
            <w:vMerge w:val="restart"/>
            <w:textDirection w:val="tbLrV"/>
            <w:vAlign w:val="center"/>
          </w:tcPr>
          <w:p w14:paraId="02D99D3C">
            <w:pPr>
              <w:ind w:firstLine="0" w:firstLineChars="0"/>
              <w:jc w:val="center"/>
              <w:rPr>
                <w:rFonts w:hint="default" w:ascii="Times New Roman" w:hAnsi="Times New Roman" w:eastAsia="方正仿宋_GBK" w:cs="Times New Roman"/>
                <w:b/>
                <w:color w:val="auto"/>
                <w:szCs w:val="24"/>
              </w:rPr>
            </w:pPr>
            <w:r>
              <w:rPr>
                <w:rFonts w:hint="default" w:ascii="Times New Roman" w:hAnsi="Times New Roman" w:eastAsia="方正仿宋_GBK" w:cs="Times New Roman"/>
                <w:bCs/>
                <w:snapToGrid w:val="0"/>
                <w:color w:val="auto"/>
                <w:kern w:val="2"/>
                <w:sz w:val="21"/>
                <w:szCs w:val="21"/>
                <w:lang w:val="en-US" w:eastAsia="zh-CN" w:bidi="ar-SA"/>
              </w:rPr>
              <w:t>项目概况</w:t>
            </w:r>
          </w:p>
        </w:tc>
        <w:tc>
          <w:tcPr>
            <w:tcW w:w="1821" w:type="dxa"/>
            <w:gridSpan w:val="3"/>
            <w:vAlign w:val="center"/>
          </w:tcPr>
          <w:p w14:paraId="00B7688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项目名称</w:t>
            </w:r>
          </w:p>
        </w:tc>
        <w:tc>
          <w:tcPr>
            <w:tcW w:w="6372" w:type="dxa"/>
            <w:gridSpan w:val="11"/>
            <w:vAlign w:val="center"/>
          </w:tcPr>
          <w:p w14:paraId="415383E7">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云南成品油管道昆明支线改线工程临时用地</w:t>
            </w:r>
          </w:p>
        </w:tc>
      </w:tr>
      <w:tr w14:paraId="2AAF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2B988FB2">
            <w:pPr>
              <w:ind w:firstLine="0" w:firstLineChars="0"/>
              <w:jc w:val="center"/>
              <w:rPr>
                <w:rFonts w:hint="default" w:ascii="Times New Roman" w:hAnsi="Times New Roman" w:eastAsia="方正仿宋_GBK" w:cs="Times New Roman"/>
                <w:b/>
                <w:color w:val="auto"/>
                <w:szCs w:val="24"/>
              </w:rPr>
            </w:pPr>
          </w:p>
        </w:tc>
        <w:tc>
          <w:tcPr>
            <w:tcW w:w="1821" w:type="dxa"/>
            <w:gridSpan w:val="3"/>
            <w:vAlign w:val="center"/>
          </w:tcPr>
          <w:p w14:paraId="4CD3E2A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单位名称</w:t>
            </w:r>
          </w:p>
        </w:tc>
        <w:tc>
          <w:tcPr>
            <w:tcW w:w="6372" w:type="dxa"/>
            <w:gridSpan w:val="11"/>
            <w:vAlign w:val="center"/>
          </w:tcPr>
          <w:p w14:paraId="2B4EFE8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国家管网集团西南管道有限责任公司昆明输油气分司</w:t>
            </w:r>
          </w:p>
        </w:tc>
      </w:tr>
      <w:tr w14:paraId="6A53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42DF1085">
            <w:pPr>
              <w:ind w:firstLine="0" w:firstLineChars="0"/>
              <w:jc w:val="center"/>
              <w:rPr>
                <w:rFonts w:hint="default" w:ascii="Times New Roman" w:hAnsi="Times New Roman" w:eastAsia="方正仿宋_GBK" w:cs="Times New Roman"/>
                <w:b/>
                <w:color w:val="auto"/>
                <w:szCs w:val="24"/>
              </w:rPr>
            </w:pPr>
          </w:p>
        </w:tc>
        <w:tc>
          <w:tcPr>
            <w:tcW w:w="1821" w:type="dxa"/>
            <w:gridSpan w:val="3"/>
            <w:vAlign w:val="center"/>
          </w:tcPr>
          <w:p w14:paraId="451A353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单位地址</w:t>
            </w:r>
          </w:p>
        </w:tc>
        <w:tc>
          <w:tcPr>
            <w:tcW w:w="6372" w:type="dxa"/>
            <w:gridSpan w:val="11"/>
            <w:vAlign w:val="center"/>
          </w:tcPr>
          <w:p w14:paraId="2F5D017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昆明市官渡区长水街道</w:t>
            </w:r>
          </w:p>
        </w:tc>
      </w:tr>
      <w:tr w14:paraId="1581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3187C4E2">
            <w:pPr>
              <w:ind w:firstLine="0" w:firstLineChars="0"/>
              <w:jc w:val="center"/>
              <w:rPr>
                <w:rFonts w:hint="default" w:ascii="Times New Roman" w:hAnsi="Times New Roman" w:eastAsia="方正仿宋_GBK" w:cs="Times New Roman"/>
                <w:b/>
                <w:color w:val="auto"/>
                <w:szCs w:val="24"/>
              </w:rPr>
            </w:pPr>
          </w:p>
        </w:tc>
        <w:tc>
          <w:tcPr>
            <w:tcW w:w="1821" w:type="dxa"/>
            <w:gridSpan w:val="3"/>
            <w:vAlign w:val="center"/>
          </w:tcPr>
          <w:p w14:paraId="4AED09B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法人代表</w:t>
            </w:r>
          </w:p>
        </w:tc>
        <w:tc>
          <w:tcPr>
            <w:tcW w:w="2318" w:type="dxa"/>
            <w:gridSpan w:val="5"/>
            <w:vAlign w:val="center"/>
          </w:tcPr>
          <w:p w14:paraId="2B72004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张</w:t>
            </w:r>
            <w:r>
              <w:rPr>
                <w:rFonts w:hint="default" w:ascii="Times New Roman" w:hAnsi="Times New Roman" w:eastAsia="方正仿宋_GBK" w:cs="Times New Roman"/>
                <w:sz w:val="21"/>
                <w:szCs w:val="21"/>
              </w:rPr>
              <w:t>*</w:t>
            </w:r>
          </w:p>
        </w:tc>
        <w:tc>
          <w:tcPr>
            <w:tcW w:w="2128" w:type="dxa"/>
            <w:gridSpan w:val="5"/>
            <w:vAlign w:val="center"/>
          </w:tcPr>
          <w:p w14:paraId="2BCB0D4C">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联系电话</w:t>
            </w:r>
          </w:p>
        </w:tc>
        <w:tc>
          <w:tcPr>
            <w:tcW w:w="1926" w:type="dxa"/>
            <w:vAlign w:val="center"/>
          </w:tcPr>
          <w:p w14:paraId="0408F72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r>
      <w:tr w14:paraId="53A5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0D0047EA">
            <w:pPr>
              <w:ind w:firstLine="0" w:firstLineChars="0"/>
              <w:jc w:val="center"/>
              <w:rPr>
                <w:rFonts w:hint="default" w:ascii="Times New Roman" w:hAnsi="Times New Roman" w:eastAsia="方正仿宋_GBK" w:cs="Times New Roman"/>
                <w:b/>
                <w:color w:val="auto"/>
                <w:szCs w:val="24"/>
              </w:rPr>
            </w:pPr>
          </w:p>
        </w:tc>
        <w:tc>
          <w:tcPr>
            <w:tcW w:w="1821" w:type="dxa"/>
            <w:gridSpan w:val="3"/>
            <w:vAlign w:val="center"/>
          </w:tcPr>
          <w:p w14:paraId="3C0206A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企业性质</w:t>
            </w:r>
          </w:p>
        </w:tc>
        <w:tc>
          <w:tcPr>
            <w:tcW w:w="2318" w:type="dxa"/>
            <w:gridSpan w:val="5"/>
            <w:vAlign w:val="center"/>
          </w:tcPr>
          <w:p w14:paraId="1B86E12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有限责任公司</w:t>
            </w:r>
          </w:p>
        </w:tc>
        <w:tc>
          <w:tcPr>
            <w:tcW w:w="2128" w:type="dxa"/>
            <w:gridSpan w:val="5"/>
            <w:vAlign w:val="center"/>
          </w:tcPr>
          <w:p w14:paraId="7C2F2FD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项目性质</w:t>
            </w:r>
          </w:p>
        </w:tc>
        <w:tc>
          <w:tcPr>
            <w:tcW w:w="1926" w:type="dxa"/>
            <w:vAlign w:val="center"/>
          </w:tcPr>
          <w:p w14:paraId="7EF6FD0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新建项目</w:t>
            </w:r>
          </w:p>
        </w:tc>
      </w:tr>
      <w:tr w14:paraId="06E6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723" w:type="dxa"/>
            <w:gridSpan w:val="2"/>
            <w:vMerge w:val="continue"/>
            <w:vAlign w:val="center"/>
          </w:tcPr>
          <w:p w14:paraId="5261551C">
            <w:pPr>
              <w:ind w:firstLine="0" w:firstLineChars="0"/>
              <w:jc w:val="center"/>
              <w:rPr>
                <w:rFonts w:hint="default" w:ascii="Times New Roman" w:hAnsi="Times New Roman" w:eastAsia="方正仿宋_GBK" w:cs="Times New Roman"/>
                <w:b/>
                <w:color w:val="auto"/>
                <w:szCs w:val="24"/>
              </w:rPr>
            </w:pPr>
          </w:p>
        </w:tc>
        <w:tc>
          <w:tcPr>
            <w:tcW w:w="1821" w:type="dxa"/>
            <w:gridSpan w:val="3"/>
            <w:vAlign w:val="center"/>
          </w:tcPr>
          <w:p w14:paraId="37C6AD7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项目位置</w:t>
            </w:r>
          </w:p>
        </w:tc>
        <w:tc>
          <w:tcPr>
            <w:tcW w:w="6372" w:type="dxa"/>
            <w:gridSpan w:val="11"/>
            <w:vAlign w:val="center"/>
          </w:tcPr>
          <w:p w14:paraId="6F56366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昆明市官渡区长水街道</w:t>
            </w:r>
          </w:p>
        </w:tc>
      </w:tr>
      <w:tr w14:paraId="7B2C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68992B1A">
            <w:pPr>
              <w:ind w:firstLine="0" w:firstLineChars="0"/>
              <w:jc w:val="center"/>
              <w:rPr>
                <w:rFonts w:hint="default" w:ascii="Times New Roman" w:hAnsi="Times New Roman" w:eastAsia="方正仿宋_GBK" w:cs="Times New Roman"/>
                <w:b/>
                <w:color w:val="auto"/>
                <w:szCs w:val="24"/>
              </w:rPr>
            </w:pPr>
          </w:p>
        </w:tc>
        <w:tc>
          <w:tcPr>
            <w:tcW w:w="1821" w:type="dxa"/>
            <w:gridSpan w:val="3"/>
            <w:vMerge w:val="restart"/>
            <w:vAlign w:val="center"/>
          </w:tcPr>
          <w:p w14:paraId="32372E9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复垦区面积</w:t>
            </w:r>
          </w:p>
        </w:tc>
        <w:tc>
          <w:tcPr>
            <w:tcW w:w="2318" w:type="dxa"/>
            <w:gridSpan w:val="5"/>
            <w:vAlign w:val="center"/>
          </w:tcPr>
          <w:p w14:paraId="118761F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用地类型</w:t>
            </w:r>
          </w:p>
        </w:tc>
        <w:tc>
          <w:tcPr>
            <w:tcW w:w="2128" w:type="dxa"/>
            <w:gridSpan w:val="5"/>
            <w:vAlign w:val="center"/>
          </w:tcPr>
          <w:p w14:paraId="4F79261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永久用地面积hm</w:t>
            </w:r>
            <w:r>
              <w:rPr>
                <w:rFonts w:hint="default" w:ascii="Times New Roman" w:hAnsi="Times New Roman" w:eastAsia="方正仿宋_GBK" w:cs="Times New Roman"/>
                <w:bCs/>
                <w:snapToGrid w:val="0"/>
                <w:color w:val="auto"/>
                <w:kern w:val="2"/>
                <w:sz w:val="21"/>
                <w:szCs w:val="21"/>
                <w:highlight w:val="none"/>
                <w:vertAlign w:val="superscript"/>
                <w:lang w:val="en-US" w:eastAsia="zh-CN" w:bidi="ar-SA"/>
              </w:rPr>
              <w:t>2</w:t>
            </w:r>
          </w:p>
        </w:tc>
        <w:tc>
          <w:tcPr>
            <w:tcW w:w="1926" w:type="dxa"/>
            <w:vAlign w:val="center"/>
          </w:tcPr>
          <w:p w14:paraId="295F6853">
            <w:pPr>
              <w:ind w:firstLine="0" w:firstLineChars="0"/>
              <w:jc w:val="both"/>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临时用地面积hm</w:t>
            </w:r>
            <w:r>
              <w:rPr>
                <w:rFonts w:hint="default" w:ascii="Times New Roman" w:hAnsi="Times New Roman" w:eastAsia="方正仿宋_GBK" w:cs="Times New Roman"/>
                <w:bCs/>
                <w:snapToGrid w:val="0"/>
                <w:color w:val="auto"/>
                <w:kern w:val="2"/>
                <w:sz w:val="21"/>
                <w:szCs w:val="21"/>
                <w:highlight w:val="none"/>
                <w:vertAlign w:val="superscript"/>
                <w:lang w:val="en-US" w:eastAsia="zh-CN" w:bidi="ar-SA"/>
              </w:rPr>
              <w:t>2</w:t>
            </w:r>
          </w:p>
        </w:tc>
      </w:tr>
      <w:tr w14:paraId="54BB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5BF83CBE">
            <w:pPr>
              <w:ind w:firstLine="0" w:firstLineChars="0"/>
              <w:jc w:val="center"/>
              <w:rPr>
                <w:rFonts w:hint="default" w:ascii="Times New Roman" w:hAnsi="Times New Roman" w:eastAsia="方正仿宋_GBK" w:cs="Times New Roman"/>
                <w:b/>
                <w:color w:val="auto"/>
                <w:szCs w:val="24"/>
              </w:rPr>
            </w:pPr>
          </w:p>
        </w:tc>
        <w:tc>
          <w:tcPr>
            <w:tcW w:w="1821" w:type="dxa"/>
            <w:gridSpan w:val="3"/>
            <w:vMerge w:val="continue"/>
            <w:vAlign w:val="center"/>
          </w:tcPr>
          <w:p w14:paraId="0E74042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318" w:type="dxa"/>
            <w:gridSpan w:val="5"/>
            <w:vAlign w:val="center"/>
          </w:tcPr>
          <w:p w14:paraId="1DD455C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井场</w:t>
            </w:r>
          </w:p>
        </w:tc>
        <w:tc>
          <w:tcPr>
            <w:tcW w:w="2128" w:type="dxa"/>
            <w:gridSpan w:val="5"/>
            <w:vAlign w:val="center"/>
          </w:tcPr>
          <w:p w14:paraId="739C950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926" w:type="dxa"/>
            <w:vAlign w:val="center"/>
          </w:tcPr>
          <w:p w14:paraId="141DE86C">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r>
      <w:tr w14:paraId="1417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75A30612">
            <w:pPr>
              <w:ind w:firstLine="0" w:firstLineChars="0"/>
              <w:jc w:val="center"/>
              <w:rPr>
                <w:rFonts w:hint="default" w:ascii="Times New Roman" w:hAnsi="Times New Roman" w:eastAsia="方正仿宋_GBK" w:cs="Times New Roman"/>
                <w:b/>
                <w:color w:val="auto"/>
                <w:szCs w:val="24"/>
              </w:rPr>
            </w:pPr>
          </w:p>
        </w:tc>
        <w:tc>
          <w:tcPr>
            <w:tcW w:w="1821" w:type="dxa"/>
            <w:gridSpan w:val="3"/>
            <w:vMerge w:val="continue"/>
            <w:vAlign w:val="center"/>
          </w:tcPr>
          <w:p w14:paraId="260808F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318" w:type="dxa"/>
            <w:gridSpan w:val="5"/>
            <w:vAlign w:val="center"/>
          </w:tcPr>
          <w:p w14:paraId="2E1A848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道路</w:t>
            </w:r>
          </w:p>
        </w:tc>
        <w:tc>
          <w:tcPr>
            <w:tcW w:w="2128" w:type="dxa"/>
            <w:gridSpan w:val="5"/>
            <w:vAlign w:val="center"/>
          </w:tcPr>
          <w:p w14:paraId="582D717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926" w:type="dxa"/>
            <w:vAlign w:val="center"/>
          </w:tcPr>
          <w:p w14:paraId="2501C98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r>
      <w:tr w14:paraId="08D2A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1AE00AEB">
            <w:pPr>
              <w:ind w:firstLine="0" w:firstLineChars="0"/>
              <w:jc w:val="center"/>
              <w:rPr>
                <w:rFonts w:hint="default" w:ascii="Times New Roman" w:hAnsi="Times New Roman" w:eastAsia="方正仿宋_GBK" w:cs="Times New Roman"/>
                <w:b/>
                <w:color w:val="auto"/>
                <w:szCs w:val="24"/>
              </w:rPr>
            </w:pPr>
          </w:p>
        </w:tc>
        <w:tc>
          <w:tcPr>
            <w:tcW w:w="1821" w:type="dxa"/>
            <w:gridSpan w:val="3"/>
            <w:vMerge w:val="continue"/>
            <w:vAlign w:val="center"/>
          </w:tcPr>
          <w:p w14:paraId="1EB882D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318" w:type="dxa"/>
            <w:gridSpan w:val="5"/>
            <w:vAlign w:val="center"/>
          </w:tcPr>
          <w:p w14:paraId="33A444C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管线</w:t>
            </w:r>
          </w:p>
        </w:tc>
        <w:tc>
          <w:tcPr>
            <w:tcW w:w="2128" w:type="dxa"/>
            <w:gridSpan w:val="5"/>
            <w:vAlign w:val="center"/>
          </w:tcPr>
          <w:p w14:paraId="4244E97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926" w:type="dxa"/>
            <w:vAlign w:val="center"/>
          </w:tcPr>
          <w:p w14:paraId="03E3565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5.0649</w:t>
            </w:r>
          </w:p>
        </w:tc>
      </w:tr>
      <w:tr w14:paraId="7A7C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1F5F45D0">
            <w:pPr>
              <w:ind w:firstLine="0" w:firstLineChars="0"/>
              <w:jc w:val="center"/>
              <w:rPr>
                <w:rFonts w:hint="default" w:ascii="Times New Roman" w:hAnsi="Times New Roman" w:eastAsia="方正仿宋_GBK" w:cs="Times New Roman"/>
                <w:b/>
                <w:color w:val="auto"/>
                <w:szCs w:val="24"/>
              </w:rPr>
            </w:pPr>
          </w:p>
        </w:tc>
        <w:tc>
          <w:tcPr>
            <w:tcW w:w="1821" w:type="dxa"/>
            <w:gridSpan w:val="3"/>
            <w:vMerge w:val="continue"/>
            <w:vAlign w:val="center"/>
          </w:tcPr>
          <w:p w14:paraId="2543B19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318" w:type="dxa"/>
            <w:gridSpan w:val="5"/>
            <w:vAlign w:val="center"/>
          </w:tcPr>
          <w:p w14:paraId="0A7D796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材料堆场</w:t>
            </w:r>
          </w:p>
        </w:tc>
        <w:tc>
          <w:tcPr>
            <w:tcW w:w="2128" w:type="dxa"/>
            <w:gridSpan w:val="5"/>
            <w:vAlign w:val="center"/>
          </w:tcPr>
          <w:p w14:paraId="49EB767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926" w:type="dxa"/>
            <w:vAlign w:val="center"/>
          </w:tcPr>
          <w:p w14:paraId="3502722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0.1596</w:t>
            </w:r>
          </w:p>
        </w:tc>
      </w:tr>
      <w:tr w14:paraId="31F7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580B3985">
            <w:pPr>
              <w:ind w:firstLine="0" w:firstLineChars="0"/>
              <w:jc w:val="center"/>
              <w:rPr>
                <w:rFonts w:hint="default" w:ascii="Times New Roman" w:hAnsi="Times New Roman" w:eastAsia="方正仿宋_GBK" w:cs="Times New Roman"/>
                <w:b/>
                <w:color w:val="auto"/>
                <w:szCs w:val="24"/>
              </w:rPr>
            </w:pPr>
          </w:p>
        </w:tc>
        <w:tc>
          <w:tcPr>
            <w:tcW w:w="1821" w:type="dxa"/>
            <w:gridSpan w:val="3"/>
            <w:vMerge w:val="continue"/>
            <w:vAlign w:val="center"/>
          </w:tcPr>
          <w:p w14:paraId="284B9FC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318" w:type="dxa"/>
            <w:gridSpan w:val="5"/>
            <w:vAlign w:val="center"/>
          </w:tcPr>
          <w:p w14:paraId="546AC93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合计</w:t>
            </w:r>
          </w:p>
        </w:tc>
        <w:tc>
          <w:tcPr>
            <w:tcW w:w="2128" w:type="dxa"/>
            <w:gridSpan w:val="5"/>
            <w:vAlign w:val="center"/>
          </w:tcPr>
          <w:p w14:paraId="3472938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926" w:type="dxa"/>
            <w:vAlign w:val="center"/>
          </w:tcPr>
          <w:p w14:paraId="2F52FC5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5.2245</w:t>
            </w:r>
          </w:p>
        </w:tc>
      </w:tr>
      <w:tr w14:paraId="2D30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jc w:val="center"/>
        </w:trPr>
        <w:tc>
          <w:tcPr>
            <w:tcW w:w="723" w:type="dxa"/>
            <w:gridSpan w:val="2"/>
            <w:vMerge w:val="continue"/>
            <w:vAlign w:val="center"/>
          </w:tcPr>
          <w:p w14:paraId="252AC174">
            <w:pPr>
              <w:ind w:firstLine="0" w:firstLineChars="0"/>
              <w:jc w:val="center"/>
              <w:rPr>
                <w:rFonts w:hint="default" w:ascii="Times New Roman" w:hAnsi="Times New Roman" w:eastAsia="方正仿宋_GBK" w:cs="Times New Roman"/>
                <w:b/>
                <w:color w:val="auto"/>
                <w:szCs w:val="24"/>
              </w:rPr>
            </w:pPr>
          </w:p>
        </w:tc>
        <w:tc>
          <w:tcPr>
            <w:tcW w:w="1821" w:type="dxa"/>
            <w:gridSpan w:val="3"/>
            <w:vAlign w:val="center"/>
          </w:tcPr>
          <w:p w14:paraId="64B9A04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批复文号</w:t>
            </w:r>
          </w:p>
        </w:tc>
        <w:tc>
          <w:tcPr>
            <w:tcW w:w="2318" w:type="dxa"/>
            <w:gridSpan w:val="5"/>
            <w:vAlign w:val="center"/>
          </w:tcPr>
          <w:p w14:paraId="14A4FE7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昆发改能源〔2023〕678号</w:t>
            </w:r>
          </w:p>
        </w:tc>
        <w:tc>
          <w:tcPr>
            <w:tcW w:w="2128" w:type="dxa"/>
            <w:gridSpan w:val="5"/>
            <w:vAlign w:val="center"/>
          </w:tcPr>
          <w:p w14:paraId="3170CE7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项目区面积hm²</w:t>
            </w:r>
          </w:p>
        </w:tc>
        <w:tc>
          <w:tcPr>
            <w:tcW w:w="1926" w:type="dxa"/>
            <w:vAlign w:val="center"/>
          </w:tcPr>
          <w:p w14:paraId="30C7485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5.2245</w:t>
            </w:r>
          </w:p>
        </w:tc>
      </w:tr>
      <w:tr w14:paraId="08E7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3E2D8C7A">
            <w:pPr>
              <w:ind w:firstLine="0" w:firstLineChars="0"/>
              <w:jc w:val="center"/>
              <w:rPr>
                <w:rFonts w:hint="default" w:ascii="Times New Roman" w:hAnsi="Times New Roman" w:eastAsia="方正仿宋_GBK" w:cs="Times New Roman"/>
                <w:b/>
                <w:color w:val="auto"/>
                <w:szCs w:val="24"/>
              </w:rPr>
            </w:pPr>
          </w:p>
        </w:tc>
        <w:tc>
          <w:tcPr>
            <w:tcW w:w="1821" w:type="dxa"/>
            <w:gridSpan w:val="3"/>
            <w:vAlign w:val="center"/>
          </w:tcPr>
          <w:p w14:paraId="7062F15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项目位置土地利用现状图幅号</w:t>
            </w:r>
          </w:p>
        </w:tc>
        <w:tc>
          <w:tcPr>
            <w:tcW w:w="6372" w:type="dxa"/>
            <w:gridSpan w:val="11"/>
            <w:vAlign w:val="center"/>
          </w:tcPr>
          <w:p w14:paraId="2EAD742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G48H137029、G48H138029、G48H139029</w:t>
            </w:r>
          </w:p>
        </w:tc>
      </w:tr>
      <w:tr w14:paraId="7A774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50038A93">
            <w:pPr>
              <w:ind w:firstLine="0" w:firstLineChars="0"/>
              <w:jc w:val="center"/>
              <w:rPr>
                <w:rFonts w:hint="default" w:ascii="Times New Roman" w:hAnsi="Times New Roman" w:eastAsia="方正仿宋_GBK" w:cs="Times New Roman"/>
                <w:b/>
                <w:color w:val="auto"/>
                <w:szCs w:val="24"/>
              </w:rPr>
            </w:pPr>
          </w:p>
        </w:tc>
        <w:tc>
          <w:tcPr>
            <w:tcW w:w="1821" w:type="dxa"/>
            <w:gridSpan w:val="3"/>
            <w:vAlign w:val="center"/>
          </w:tcPr>
          <w:p w14:paraId="296AD0A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临时用地</w:t>
            </w:r>
          </w:p>
          <w:p w14:paraId="711FBB5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使用年限</w:t>
            </w:r>
          </w:p>
        </w:tc>
        <w:tc>
          <w:tcPr>
            <w:tcW w:w="2318" w:type="dxa"/>
            <w:gridSpan w:val="5"/>
            <w:vAlign w:val="center"/>
          </w:tcPr>
          <w:p w14:paraId="6E8B9DA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0.5年（2024年1月-2024年06月）</w:t>
            </w:r>
          </w:p>
        </w:tc>
        <w:tc>
          <w:tcPr>
            <w:tcW w:w="1378" w:type="dxa"/>
            <w:gridSpan w:val="2"/>
            <w:vAlign w:val="center"/>
          </w:tcPr>
          <w:p w14:paraId="0DEC1C7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土地复垦方案服务年限</w:t>
            </w:r>
          </w:p>
        </w:tc>
        <w:tc>
          <w:tcPr>
            <w:tcW w:w="2676" w:type="dxa"/>
            <w:gridSpan w:val="4"/>
            <w:vAlign w:val="center"/>
          </w:tcPr>
          <w:p w14:paraId="06172D6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4.0年（2024年1月-2027年12</w:t>
            </w:r>
            <w:r>
              <w:rPr>
                <w:rFonts w:hint="eastAsia" w:ascii="Times New Roman" w:hAnsi="Times New Roman" w:eastAsia="方正仿宋_GBK" w:cs="Times New Roman"/>
                <w:bCs/>
                <w:snapToGrid w:val="0"/>
                <w:color w:val="auto"/>
                <w:kern w:val="2"/>
                <w:sz w:val="21"/>
                <w:szCs w:val="21"/>
                <w:highlight w:val="none"/>
                <w:lang w:val="en-US" w:eastAsia="zh-CN" w:bidi="ar-SA"/>
              </w:rPr>
              <w:t>月</w:t>
            </w:r>
            <w:r>
              <w:rPr>
                <w:rFonts w:hint="default" w:ascii="Times New Roman" w:hAnsi="Times New Roman" w:eastAsia="方正仿宋_GBK" w:cs="Times New Roman"/>
                <w:bCs/>
                <w:snapToGrid w:val="0"/>
                <w:color w:val="auto"/>
                <w:kern w:val="2"/>
                <w:sz w:val="21"/>
                <w:szCs w:val="21"/>
                <w:highlight w:val="none"/>
                <w:lang w:val="en-US" w:eastAsia="zh-CN" w:bidi="ar-SA"/>
              </w:rPr>
              <w:t>）</w:t>
            </w:r>
          </w:p>
        </w:tc>
      </w:tr>
      <w:tr w14:paraId="6E10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restart"/>
            <w:vAlign w:val="center"/>
          </w:tcPr>
          <w:p w14:paraId="7DAA0DFE">
            <w:pPr>
              <w:ind w:firstLine="0" w:firstLineChars="0"/>
              <w:jc w:val="center"/>
              <w:rPr>
                <w:rFonts w:hint="default" w:ascii="Times New Roman" w:hAnsi="Times New Roman" w:eastAsia="方正仿宋_GBK" w:cs="Times New Roman"/>
                <w:b/>
                <w:color w:val="auto"/>
                <w:szCs w:val="24"/>
              </w:rPr>
            </w:pPr>
          </w:p>
          <w:p w14:paraId="3DE5F8BE">
            <w:pPr>
              <w:ind w:firstLine="0" w:firstLineChars="0"/>
              <w:jc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bCs/>
                <w:snapToGrid w:val="0"/>
                <w:color w:val="auto"/>
                <w:kern w:val="2"/>
                <w:sz w:val="21"/>
                <w:szCs w:val="21"/>
                <w:lang w:val="en-US" w:eastAsia="zh-CN" w:bidi="ar-SA"/>
              </w:rPr>
              <w:t>方</w:t>
            </w:r>
          </w:p>
          <w:p w14:paraId="06D95521">
            <w:pPr>
              <w:ind w:firstLine="0" w:firstLineChars="0"/>
              <w:jc w:val="center"/>
              <w:rPr>
                <w:rFonts w:hint="default" w:ascii="Times New Roman" w:hAnsi="Times New Roman" w:eastAsia="方正仿宋_GBK" w:cs="Times New Roman"/>
                <w:bCs/>
                <w:snapToGrid w:val="0"/>
                <w:color w:val="auto"/>
                <w:kern w:val="2"/>
                <w:sz w:val="21"/>
                <w:szCs w:val="21"/>
                <w:lang w:val="en-US" w:eastAsia="zh-CN" w:bidi="ar-SA"/>
              </w:rPr>
            </w:pPr>
          </w:p>
          <w:p w14:paraId="7F3B0C74">
            <w:pPr>
              <w:ind w:firstLine="0" w:firstLineChars="0"/>
              <w:jc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bCs/>
                <w:snapToGrid w:val="0"/>
                <w:color w:val="auto"/>
                <w:kern w:val="2"/>
                <w:sz w:val="21"/>
                <w:szCs w:val="21"/>
                <w:lang w:val="en-US" w:eastAsia="zh-CN" w:bidi="ar-SA"/>
              </w:rPr>
              <w:t>案</w:t>
            </w:r>
          </w:p>
          <w:p w14:paraId="5EA0B8C0">
            <w:pPr>
              <w:ind w:firstLine="0" w:firstLineChars="0"/>
              <w:jc w:val="center"/>
              <w:rPr>
                <w:rFonts w:hint="default" w:ascii="Times New Roman" w:hAnsi="Times New Roman" w:eastAsia="方正仿宋_GBK" w:cs="Times New Roman"/>
                <w:bCs/>
                <w:snapToGrid w:val="0"/>
                <w:color w:val="auto"/>
                <w:kern w:val="2"/>
                <w:sz w:val="21"/>
                <w:szCs w:val="21"/>
                <w:lang w:val="en-US" w:eastAsia="zh-CN" w:bidi="ar-SA"/>
              </w:rPr>
            </w:pPr>
          </w:p>
          <w:p w14:paraId="29AD6564">
            <w:pPr>
              <w:ind w:firstLine="0" w:firstLineChars="0"/>
              <w:jc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bCs/>
                <w:snapToGrid w:val="0"/>
                <w:color w:val="auto"/>
                <w:kern w:val="2"/>
                <w:sz w:val="21"/>
                <w:szCs w:val="21"/>
                <w:lang w:val="en-US" w:eastAsia="zh-CN" w:bidi="ar-SA"/>
              </w:rPr>
              <w:t>编</w:t>
            </w:r>
          </w:p>
          <w:p w14:paraId="1D40D3D9">
            <w:pPr>
              <w:ind w:firstLine="0" w:firstLineChars="0"/>
              <w:jc w:val="center"/>
              <w:rPr>
                <w:rFonts w:hint="default" w:ascii="Times New Roman" w:hAnsi="Times New Roman" w:eastAsia="方正仿宋_GBK" w:cs="Times New Roman"/>
                <w:bCs/>
                <w:snapToGrid w:val="0"/>
                <w:color w:val="auto"/>
                <w:kern w:val="2"/>
                <w:sz w:val="21"/>
                <w:szCs w:val="21"/>
                <w:lang w:val="en-US" w:eastAsia="zh-CN" w:bidi="ar-SA"/>
              </w:rPr>
            </w:pPr>
          </w:p>
          <w:p w14:paraId="1C20C3D5">
            <w:pPr>
              <w:ind w:firstLine="0" w:firstLineChars="0"/>
              <w:jc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bCs/>
                <w:snapToGrid w:val="0"/>
                <w:color w:val="auto"/>
                <w:kern w:val="2"/>
                <w:sz w:val="21"/>
                <w:szCs w:val="21"/>
                <w:lang w:val="en-US" w:eastAsia="zh-CN" w:bidi="ar-SA"/>
              </w:rPr>
              <w:t>制</w:t>
            </w:r>
          </w:p>
          <w:p w14:paraId="4A08346D">
            <w:pPr>
              <w:ind w:firstLine="0" w:firstLineChars="0"/>
              <w:jc w:val="center"/>
              <w:rPr>
                <w:rFonts w:hint="default" w:ascii="Times New Roman" w:hAnsi="Times New Roman" w:eastAsia="方正仿宋_GBK" w:cs="Times New Roman"/>
                <w:bCs/>
                <w:snapToGrid w:val="0"/>
                <w:color w:val="auto"/>
                <w:kern w:val="2"/>
                <w:sz w:val="21"/>
                <w:szCs w:val="21"/>
                <w:lang w:val="en-US" w:eastAsia="zh-CN" w:bidi="ar-SA"/>
              </w:rPr>
            </w:pPr>
          </w:p>
          <w:p w14:paraId="76D3E23D">
            <w:pPr>
              <w:ind w:firstLine="0" w:firstLineChars="0"/>
              <w:jc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bCs/>
                <w:snapToGrid w:val="0"/>
                <w:color w:val="auto"/>
                <w:kern w:val="2"/>
                <w:sz w:val="21"/>
                <w:szCs w:val="21"/>
                <w:lang w:val="en-US" w:eastAsia="zh-CN" w:bidi="ar-SA"/>
              </w:rPr>
              <w:t>单</w:t>
            </w:r>
          </w:p>
          <w:p w14:paraId="6591A0E1">
            <w:pPr>
              <w:ind w:firstLine="0" w:firstLineChars="0"/>
              <w:jc w:val="center"/>
              <w:rPr>
                <w:rFonts w:hint="default" w:ascii="Times New Roman" w:hAnsi="Times New Roman" w:eastAsia="方正仿宋_GBK" w:cs="Times New Roman"/>
                <w:bCs/>
                <w:snapToGrid w:val="0"/>
                <w:color w:val="auto"/>
                <w:kern w:val="2"/>
                <w:sz w:val="21"/>
                <w:szCs w:val="21"/>
                <w:lang w:val="en-US" w:eastAsia="zh-CN" w:bidi="ar-SA"/>
              </w:rPr>
            </w:pPr>
          </w:p>
          <w:p w14:paraId="1095CD34">
            <w:pPr>
              <w:ind w:firstLine="0" w:firstLineChars="0"/>
              <w:jc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bCs/>
                <w:snapToGrid w:val="0"/>
                <w:color w:val="auto"/>
                <w:kern w:val="2"/>
                <w:sz w:val="21"/>
                <w:szCs w:val="21"/>
                <w:lang w:val="en-US" w:eastAsia="zh-CN" w:bidi="ar-SA"/>
              </w:rPr>
              <w:t>位</w:t>
            </w:r>
          </w:p>
          <w:p w14:paraId="5102F46E">
            <w:pPr>
              <w:ind w:firstLine="0" w:firstLineChars="0"/>
              <w:jc w:val="center"/>
              <w:rPr>
                <w:rFonts w:hint="default" w:ascii="Times New Roman" w:hAnsi="Times New Roman" w:eastAsia="方正仿宋_GBK" w:cs="Times New Roman"/>
                <w:b/>
                <w:color w:val="auto"/>
                <w:szCs w:val="24"/>
              </w:rPr>
            </w:pPr>
          </w:p>
        </w:tc>
        <w:tc>
          <w:tcPr>
            <w:tcW w:w="1821" w:type="dxa"/>
            <w:gridSpan w:val="3"/>
            <w:vAlign w:val="center"/>
          </w:tcPr>
          <w:p w14:paraId="5322AF0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编制单位名称</w:t>
            </w:r>
          </w:p>
        </w:tc>
        <w:tc>
          <w:tcPr>
            <w:tcW w:w="6372" w:type="dxa"/>
            <w:gridSpan w:val="11"/>
            <w:vAlign w:val="center"/>
          </w:tcPr>
          <w:p w14:paraId="37A15AA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云南坤舆测绘科技有限公司</w:t>
            </w:r>
          </w:p>
        </w:tc>
      </w:tr>
      <w:tr w14:paraId="04CAF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3D3EBB63">
            <w:pPr>
              <w:ind w:firstLine="0" w:firstLineChars="0"/>
              <w:jc w:val="center"/>
              <w:rPr>
                <w:rFonts w:hint="default" w:ascii="Times New Roman" w:hAnsi="Times New Roman" w:eastAsia="方正仿宋_GBK" w:cs="Times New Roman"/>
                <w:b/>
                <w:color w:val="auto"/>
                <w:szCs w:val="24"/>
              </w:rPr>
            </w:pPr>
          </w:p>
        </w:tc>
        <w:tc>
          <w:tcPr>
            <w:tcW w:w="1821" w:type="dxa"/>
            <w:gridSpan w:val="3"/>
            <w:vAlign w:val="center"/>
          </w:tcPr>
          <w:p w14:paraId="7E1D496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法人代表</w:t>
            </w:r>
          </w:p>
        </w:tc>
        <w:tc>
          <w:tcPr>
            <w:tcW w:w="6372" w:type="dxa"/>
            <w:gridSpan w:val="11"/>
            <w:vAlign w:val="center"/>
          </w:tcPr>
          <w:p w14:paraId="2C034B2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吕</w:t>
            </w:r>
            <w:r>
              <w:rPr>
                <w:rFonts w:hint="default" w:ascii="Times New Roman" w:hAnsi="Times New Roman" w:eastAsia="方正仿宋_GBK" w:cs="Times New Roman"/>
                <w:sz w:val="21"/>
                <w:szCs w:val="21"/>
              </w:rPr>
              <w:t>*</w:t>
            </w:r>
          </w:p>
        </w:tc>
      </w:tr>
      <w:tr w14:paraId="63A4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30079EB0">
            <w:pPr>
              <w:ind w:firstLine="0" w:firstLineChars="0"/>
              <w:jc w:val="center"/>
              <w:rPr>
                <w:rFonts w:hint="default" w:ascii="Times New Roman" w:hAnsi="Times New Roman" w:eastAsia="方正仿宋_GBK" w:cs="Times New Roman"/>
                <w:b/>
                <w:color w:val="auto"/>
                <w:szCs w:val="24"/>
              </w:rPr>
            </w:pPr>
          </w:p>
        </w:tc>
        <w:tc>
          <w:tcPr>
            <w:tcW w:w="1821" w:type="dxa"/>
            <w:gridSpan w:val="3"/>
            <w:vAlign w:val="center"/>
          </w:tcPr>
          <w:p w14:paraId="205DF83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资质证书名称</w:t>
            </w:r>
          </w:p>
        </w:tc>
        <w:tc>
          <w:tcPr>
            <w:tcW w:w="2318" w:type="dxa"/>
            <w:gridSpan w:val="5"/>
            <w:vAlign w:val="center"/>
          </w:tcPr>
          <w:p w14:paraId="2AF58AA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土地规划资质</w:t>
            </w:r>
          </w:p>
        </w:tc>
        <w:tc>
          <w:tcPr>
            <w:tcW w:w="1861" w:type="dxa"/>
            <w:gridSpan w:val="4"/>
            <w:vAlign w:val="center"/>
          </w:tcPr>
          <w:p w14:paraId="0BE21FC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单位等级</w:t>
            </w:r>
          </w:p>
        </w:tc>
        <w:tc>
          <w:tcPr>
            <w:tcW w:w="2193" w:type="dxa"/>
            <w:gridSpan w:val="2"/>
            <w:vAlign w:val="center"/>
          </w:tcPr>
          <w:p w14:paraId="7FAA334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乙级</w:t>
            </w:r>
          </w:p>
        </w:tc>
      </w:tr>
      <w:tr w14:paraId="773B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3C66C8E3">
            <w:pPr>
              <w:ind w:firstLine="0" w:firstLineChars="0"/>
              <w:jc w:val="center"/>
              <w:rPr>
                <w:rFonts w:hint="default" w:ascii="Times New Roman" w:hAnsi="Times New Roman" w:eastAsia="方正仿宋_GBK" w:cs="Times New Roman"/>
                <w:b/>
                <w:color w:val="auto"/>
                <w:szCs w:val="24"/>
              </w:rPr>
            </w:pPr>
          </w:p>
        </w:tc>
        <w:tc>
          <w:tcPr>
            <w:tcW w:w="1821" w:type="dxa"/>
            <w:gridSpan w:val="3"/>
            <w:vAlign w:val="center"/>
          </w:tcPr>
          <w:p w14:paraId="34DC07FC">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发证机关</w:t>
            </w:r>
          </w:p>
        </w:tc>
        <w:tc>
          <w:tcPr>
            <w:tcW w:w="2318" w:type="dxa"/>
            <w:gridSpan w:val="5"/>
            <w:vAlign w:val="center"/>
          </w:tcPr>
          <w:p w14:paraId="6D38659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云南省土地学会</w:t>
            </w:r>
          </w:p>
        </w:tc>
        <w:tc>
          <w:tcPr>
            <w:tcW w:w="1861" w:type="dxa"/>
            <w:gridSpan w:val="4"/>
            <w:vAlign w:val="center"/>
          </w:tcPr>
          <w:p w14:paraId="1916476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编号</w:t>
            </w:r>
          </w:p>
        </w:tc>
        <w:tc>
          <w:tcPr>
            <w:tcW w:w="2193" w:type="dxa"/>
            <w:gridSpan w:val="2"/>
            <w:vAlign w:val="center"/>
          </w:tcPr>
          <w:p w14:paraId="43A4256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532021033C</w:t>
            </w:r>
          </w:p>
        </w:tc>
      </w:tr>
      <w:tr w14:paraId="412B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6918AE88">
            <w:pPr>
              <w:ind w:firstLine="0" w:firstLineChars="0"/>
              <w:jc w:val="center"/>
              <w:rPr>
                <w:rFonts w:hint="default" w:ascii="Times New Roman" w:hAnsi="Times New Roman" w:eastAsia="方正仿宋_GBK" w:cs="Times New Roman"/>
                <w:b/>
                <w:color w:val="auto"/>
                <w:szCs w:val="24"/>
                <w:highlight w:val="none"/>
              </w:rPr>
            </w:pPr>
          </w:p>
        </w:tc>
        <w:tc>
          <w:tcPr>
            <w:tcW w:w="1821" w:type="dxa"/>
            <w:gridSpan w:val="3"/>
            <w:vAlign w:val="center"/>
          </w:tcPr>
          <w:p w14:paraId="7CD9A2E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联系人</w:t>
            </w:r>
          </w:p>
        </w:tc>
        <w:tc>
          <w:tcPr>
            <w:tcW w:w="2318" w:type="dxa"/>
            <w:gridSpan w:val="5"/>
            <w:vAlign w:val="center"/>
          </w:tcPr>
          <w:p w14:paraId="175E303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王</w:t>
            </w:r>
            <w:r>
              <w:rPr>
                <w:rFonts w:hint="default" w:ascii="Times New Roman" w:hAnsi="Times New Roman" w:eastAsia="方正仿宋_GBK" w:cs="Times New Roman"/>
                <w:sz w:val="21"/>
                <w:szCs w:val="21"/>
              </w:rPr>
              <w:t>*</w:t>
            </w:r>
          </w:p>
        </w:tc>
        <w:tc>
          <w:tcPr>
            <w:tcW w:w="1861" w:type="dxa"/>
            <w:gridSpan w:val="4"/>
            <w:vAlign w:val="center"/>
          </w:tcPr>
          <w:p w14:paraId="02A3AFE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联系电话</w:t>
            </w:r>
          </w:p>
        </w:tc>
        <w:tc>
          <w:tcPr>
            <w:tcW w:w="2193" w:type="dxa"/>
            <w:gridSpan w:val="2"/>
            <w:vAlign w:val="center"/>
          </w:tcPr>
          <w:p w14:paraId="7CC55DC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r>
      <w:tr w14:paraId="0BDB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jc w:val="center"/>
        </w:trPr>
        <w:tc>
          <w:tcPr>
            <w:tcW w:w="723" w:type="dxa"/>
            <w:gridSpan w:val="2"/>
            <w:vMerge w:val="continue"/>
            <w:vAlign w:val="center"/>
          </w:tcPr>
          <w:p w14:paraId="7E65972F">
            <w:pPr>
              <w:ind w:firstLine="0" w:firstLineChars="0"/>
              <w:jc w:val="center"/>
              <w:rPr>
                <w:rFonts w:hint="default" w:ascii="Times New Roman" w:hAnsi="Times New Roman" w:eastAsia="方正仿宋_GBK" w:cs="Times New Roman"/>
                <w:b/>
                <w:color w:val="auto"/>
                <w:szCs w:val="24"/>
                <w:highlight w:val="none"/>
              </w:rPr>
            </w:pPr>
          </w:p>
        </w:tc>
        <w:tc>
          <w:tcPr>
            <w:tcW w:w="8193" w:type="dxa"/>
            <w:gridSpan w:val="14"/>
            <w:vAlign w:val="center"/>
          </w:tcPr>
          <w:p w14:paraId="0C2A44E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主要编制人员</w:t>
            </w:r>
          </w:p>
        </w:tc>
      </w:tr>
      <w:tr w14:paraId="0D8A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58BA509C">
            <w:pPr>
              <w:ind w:firstLine="0" w:firstLineChars="0"/>
              <w:jc w:val="center"/>
              <w:rPr>
                <w:rFonts w:hint="default" w:ascii="Times New Roman" w:hAnsi="Times New Roman" w:eastAsia="方正仿宋_GBK" w:cs="Times New Roman"/>
                <w:b/>
                <w:color w:val="auto"/>
                <w:szCs w:val="24"/>
                <w:highlight w:val="none"/>
              </w:rPr>
            </w:pPr>
          </w:p>
        </w:tc>
        <w:tc>
          <w:tcPr>
            <w:tcW w:w="1821" w:type="dxa"/>
            <w:gridSpan w:val="3"/>
            <w:vAlign w:val="center"/>
          </w:tcPr>
          <w:p w14:paraId="08D8CEE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姓名</w:t>
            </w:r>
          </w:p>
        </w:tc>
        <w:tc>
          <w:tcPr>
            <w:tcW w:w="1438" w:type="dxa"/>
            <w:gridSpan w:val="2"/>
            <w:vAlign w:val="center"/>
          </w:tcPr>
          <w:p w14:paraId="59CC2AC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职务/职称</w:t>
            </w:r>
          </w:p>
        </w:tc>
        <w:tc>
          <w:tcPr>
            <w:tcW w:w="2741" w:type="dxa"/>
            <w:gridSpan w:val="7"/>
            <w:vAlign w:val="center"/>
          </w:tcPr>
          <w:p w14:paraId="6C8AD6F7">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专业</w:t>
            </w:r>
          </w:p>
        </w:tc>
        <w:tc>
          <w:tcPr>
            <w:tcW w:w="2193" w:type="dxa"/>
            <w:gridSpan w:val="2"/>
            <w:vAlign w:val="center"/>
          </w:tcPr>
          <w:p w14:paraId="611BC88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签名</w:t>
            </w:r>
          </w:p>
        </w:tc>
      </w:tr>
      <w:tr w14:paraId="2667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2F0748CE">
            <w:pPr>
              <w:ind w:firstLine="0" w:firstLineChars="0"/>
              <w:jc w:val="center"/>
              <w:rPr>
                <w:rFonts w:hint="default" w:ascii="Times New Roman" w:hAnsi="Times New Roman" w:eastAsia="方正仿宋_GBK" w:cs="Times New Roman"/>
                <w:b/>
                <w:color w:val="auto"/>
                <w:szCs w:val="24"/>
                <w:highlight w:val="none"/>
              </w:rPr>
            </w:pPr>
          </w:p>
        </w:tc>
        <w:tc>
          <w:tcPr>
            <w:tcW w:w="1821" w:type="dxa"/>
            <w:gridSpan w:val="3"/>
            <w:vAlign w:val="center"/>
          </w:tcPr>
          <w:p w14:paraId="1AD16FE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岳廷权</w:t>
            </w:r>
          </w:p>
        </w:tc>
        <w:tc>
          <w:tcPr>
            <w:tcW w:w="1438" w:type="dxa"/>
            <w:gridSpan w:val="2"/>
            <w:vAlign w:val="center"/>
          </w:tcPr>
          <w:p w14:paraId="522CE92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高工</w:t>
            </w:r>
          </w:p>
        </w:tc>
        <w:tc>
          <w:tcPr>
            <w:tcW w:w="2741" w:type="dxa"/>
            <w:gridSpan w:val="7"/>
            <w:vAlign w:val="center"/>
          </w:tcPr>
          <w:p w14:paraId="3FF6950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土地资源管理</w:t>
            </w:r>
          </w:p>
        </w:tc>
        <w:tc>
          <w:tcPr>
            <w:tcW w:w="2193" w:type="dxa"/>
            <w:gridSpan w:val="2"/>
            <w:vAlign w:val="center"/>
          </w:tcPr>
          <w:p w14:paraId="60D7C77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r>
      <w:tr w14:paraId="6196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0C369067">
            <w:pPr>
              <w:ind w:firstLine="0" w:firstLineChars="0"/>
              <w:jc w:val="center"/>
              <w:rPr>
                <w:rFonts w:hint="default" w:ascii="Times New Roman" w:hAnsi="Times New Roman" w:eastAsia="方正仿宋_GBK" w:cs="Times New Roman"/>
                <w:b/>
                <w:color w:val="auto"/>
                <w:szCs w:val="24"/>
                <w:highlight w:val="none"/>
              </w:rPr>
            </w:pPr>
          </w:p>
        </w:tc>
        <w:tc>
          <w:tcPr>
            <w:tcW w:w="1821" w:type="dxa"/>
            <w:gridSpan w:val="3"/>
            <w:vAlign w:val="center"/>
          </w:tcPr>
          <w:p w14:paraId="0BC66BE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叶俊成</w:t>
            </w:r>
          </w:p>
        </w:tc>
        <w:tc>
          <w:tcPr>
            <w:tcW w:w="1438" w:type="dxa"/>
            <w:gridSpan w:val="2"/>
            <w:vAlign w:val="center"/>
          </w:tcPr>
          <w:p w14:paraId="1A37335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高工</w:t>
            </w:r>
          </w:p>
        </w:tc>
        <w:tc>
          <w:tcPr>
            <w:tcW w:w="2741" w:type="dxa"/>
            <w:gridSpan w:val="7"/>
            <w:vAlign w:val="center"/>
          </w:tcPr>
          <w:p w14:paraId="09DD936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地理信息系统</w:t>
            </w:r>
          </w:p>
        </w:tc>
        <w:tc>
          <w:tcPr>
            <w:tcW w:w="2193" w:type="dxa"/>
            <w:gridSpan w:val="2"/>
            <w:vAlign w:val="center"/>
          </w:tcPr>
          <w:p w14:paraId="0923A2A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r>
      <w:tr w14:paraId="3FD8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gridSpan w:val="2"/>
            <w:vMerge w:val="continue"/>
            <w:vAlign w:val="center"/>
          </w:tcPr>
          <w:p w14:paraId="1056D968">
            <w:pPr>
              <w:ind w:firstLine="0" w:firstLineChars="0"/>
              <w:jc w:val="center"/>
              <w:rPr>
                <w:rFonts w:hint="default" w:ascii="Times New Roman" w:hAnsi="Times New Roman" w:eastAsia="方正仿宋_GBK" w:cs="Times New Roman"/>
                <w:b/>
                <w:color w:val="auto"/>
                <w:szCs w:val="24"/>
                <w:highlight w:val="none"/>
              </w:rPr>
            </w:pPr>
          </w:p>
        </w:tc>
        <w:tc>
          <w:tcPr>
            <w:tcW w:w="1821" w:type="dxa"/>
            <w:gridSpan w:val="3"/>
            <w:vAlign w:val="center"/>
          </w:tcPr>
          <w:p w14:paraId="4CE98C9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岳廷禹</w:t>
            </w:r>
          </w:p>
        </w:tc>
        <w:tc>
          <w:tcPr>
            <w:tcW w:w="1438" w:type="dxa"/>
            <w:gridSpan w:val="2"/>
            <w:vAlign w:val="center"/>
          </w:tcPr>
          <w:p w14:paraId="7CAA998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工程师</w:t>
            </w:r>
          </w:p>
        </w:tc>
        <w:tc>
          <w:tcPr>
            <w:tcW w:w="2741" w:type="dxa"/>
            <w:gridSpan w:val="7"/>
            <w:vAlign w:val="center"/>
          </w:tcPr>
          <w:p w14:paraId="070E7B7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地理信息系统</w:t>
            </w:r>
          </w:p>
        </w:tc>
        <w:tc>
          <w:tcPr>
            <w:tcW w:w="2193" w:type="dxa"/>
            <w:gridSpan w:val="2"/>
            <w:vAlign w:val="center"/>
          </w:tcPr>
          <w:p w14:paraId="77D6B9B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r>
      <w:tr w14:paraId="6D37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723" w:type="dxa"/>
            <w:gridSpan w:val="2"/>
            <w:vMerge w:val="continue"/>
            <w:vAlign w:val="center"/>
          </w:tcPr>
          <w:p w14:paraId="39B9CBCF">
            <w:pPr>
              <w:ind w:firstLine="0" w:firstLineChars="0"/>
              <w:jc w:val="center"/>
              <w:rPr>
                <w:rFonts w:hint="default" w:ascii="Times New Roman" w:hAnsi="Times New Roman" w:eastAsia="方正仿宋_GBK" w:cs="Times New Roman"/>
                <w:b/>
                <w:color w:val="auto"/>
                <w:szCs w:val="24"/>
                <w:highlight w:val="none"/>
              </w:rPr>
            </w:pPr>
          </w:p>
        </w:tc>
        <w:tc>
          <w:tcPr>
            <w:tcW w:w="1821" w:type="dxa"/>
            <w:gridSpan w:val="3"/>
            <w:vAlign w:val="center"/>
          </w:tcPr>
          <w:p w14:paraId="56D324B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李海兵</w:t>
            </w:r>
          </w:p>
        </w:tc>
        <w:tc>
          <w:tcPr>
            <w:tcW w:w="1438" w:type="dxa"/>
            <w:gridSpan w:val="2"/>
            <w:vAlign w:val="center"/>
          </w:tcPr>
          <w:p w14:paraId="2EE9567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工程师</w:t>
            </w:r>
          </w:p>
        </w:tc>
        <w:tc>
          <w:tcPr>
            <w:tcW w:w="2741" w:type="dxa"/>
            <w:gridSpan w:val="7"/>
            <w:vAlign w:val="center"/>
          </w:tcPr>
          <w:p w14:paraId="708D17F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工程造价</w:t>
            </w:r>
          </w:p>
        </w:tc>
        <w:tc>
          <w:tcPr>
            <w:tcW w:w="2193" w:type="dxa"/>
            <w:gridSpan w:val="2"/>
            <w:vAlign w:val="center"/>
          </w:tcPr>
          <w:p w14:paraId="7B50B76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r>
      <w:tr w14:paraId="16F2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restart"/>
            <w:vAlign w:val="center"/>
          </w:tcPr>
          <w:p w14:paraId="0FEB7CA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复</w:t>
            </w:r>
          </w:p>
          <w:p w14:paraId="1EE74F1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垦</w:t>
            </w:r>
          </w:p>
          <w:p w14:paraId="14173C3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区</w:t>
            </w:r>
          </w:p>
          <w:p w14:paraId="693C8B5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土</w:t>
            </w:r>
          </w:p>
          <w:p w14:paraId="4B7CC0B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地</w:t>
            </w:r>
          </w:p>
          <w:p w14:paraId="2C9914D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利</w:t>
            </w:r>
          </w:p>
          <w:p w14:paraId="5786794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用</w:t>
            </w:r>
          </w:p>
          <w:p w14:paraId="2AF04BE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现</w:t>
            </w:r>
          </w:p>
          <w:p w14:paraId="23B40B6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状</w:t>
            </w:r>
          </w:p>
        </w:tc>
        <w:tc>
          <w:tcPr>
            <w:tcW w:w="2551" w:type="dxa"/>
            <w:gridSpan w:val="5"/>
            <w:vAlign w:val="center"/>
          </w:tcPr>
          <w:p w14:paraId="24789D3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土地类型</w:t>
            </w:r>
          </w:p>
        </w:tc>
        <w:tc>
          <w:tcPr>
            <w:tcW w:w="5662" w:type="dxa"/>
            <w:gridSpan w:val="10"/>
            <w:vAlign w:val="center"/>
          </w:tcPr>
          <w:p w14:paraId="3059959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面积（hm²）</w:t>
            </w:r>
          </w:p>
        </w:tc>
      </w:tr>
      <w:tr w14:paraId="3CE0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776F1EF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484" w:type="dxa"/>
            <w:gridSpan w:val="3"/>
            <w:vAlign w:val="center"/>
          </w:tcPr>
          <w:p w14:paraId="075CA29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一级地类</w:t>
            </w:r>
          </w:p>
        </w:tc>
        <w:tc>
          <w:tcPr>
            <w:tcW w:w="1067" w:type="dxa"/>
            <w:gridSpan w:val="2"/>
            <w:vAlign w:val="center"/>
          </w:tcPr>
          <w:p w14:paraId="50CD722C">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二级地类</w:t>
            </w:r>
          </w:p>
        </w:tc>
        <w:tc>
          <w:tcPr>
            <w:tcW w:w="943" w:type="dxa"/>
            <w:gridSpan w:val="2"/>
            <w:vAlign w:val="center"/>
          </w:tcPr>
          <w:p w14:paraId="6DA2B75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小计</w:t>
            </w:r>
          </w:p>
        </w:tc>
        <w:tc>
          <w:tcPr>
            <w:tcW w:w="1099" w:type="dxa"/>
            <w:gridSpan w:val="3"/>
            <w:vAlign w:val="center"/>
          </w:tcPr>
          <w:p w14:paraId="1D37075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已损毁</w:t>
            </w:r>
          </w:p>
        </w:tc>
        <w:tc>
          <w:tcPr>
            <w:tcW w:w="1256" w:type="dxa"/>
            <w:gridSpan w:val="2"/>
            <w:vAlign w:val="center"/>
          </w:tcPr>
          <w:p w14:paraId="20033F67">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拟损毁</w:t>
            </w:r>
          </w:p>
        </w:tc>
        <w:tc>
          <w:tcPr>
            <w:tcW w:w="2364" w:type="dxa"/>
            <w:gridSpan w:val="3"/>
            <w:vAlign w:val="center"/>
          </w:tcPr>
          <w:p w14:paraId="5E7C4F7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占用</w:t>
            </w:r>
          </w:p>
        </w:tc>
      </w:tr>
      <w:tr w14:paraId="4F9F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031B65F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484" w:type="dxa"/>
            <w:gridSpan w:val="3"/>
            <w:vAlign w:val="center"/>
          </w:tcPr>
          <w:p w14:paraId="4DC7A98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耕地</w:t>
            </w:r>
          </w:p>
        </w:tc>
        <w:tc>
          <w:tcPr>
            <w:tcW w:w="1067" w:type="dxa"/>
            <w:gridSpan w:val="2"/>
            <w:vAlign w:val="center"/>
          </w:tcPr>
          <w:p w14:paraId="104DF78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旱地</w:t>
            </w:r>
          </w:p>
        </w:tc>
        <w:tc>
          <w:tcPr>
            <w:tcW w:w="943" w:type="dxa"/>
            <w:gridSpan w:val="2"/>
            <w:vAlign w:val="center"/>
          </w:tcPr>
          <w:p w14:paraId="527C05B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c>
          <w:tcPr>
            <w:tcW w:w="1099" w:type="dxa"/>
            <w:gridSpan w:val="3"/>
            <w:vAlign w:val="center"/>
          </w:tcPr>
          <w:p w14:paraId="3EFFCFC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256" w:type="dxa"/>
            <w:gridSpan w:val="2"/>
            <w:vAlign w:val="center"/>
          </w:tcPr>
          <w:p w14:paraId="5C3334D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c>
          <w:tcPr>
            <w:tcW w:w="2364" w:type="dxa"/>
            <w:gridSpan w:val="3"/>
            <w:vAlign w:val="center"/>
          </w:tcPr>
          <w:p w14:paraId="057561AC">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r>
      <w:tr w14:paraId="1944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23D85A8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484" w:type="dxa"/>
            <w:gridSpan w:val="3"/>
            <w:vAlign w:val="center"/>
          </w:tcPr>
          <w:p w14:paraId="3EC5AADC">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种植园地</w:t>
            </w:r>
          </w:p>
        </w:tc>
        <w:tc>
          <w:tcPr>
            <w:tcW w:w="1067" w:type="dxa"/>
            <w:gridSpan w:val="2"/>
            <w:vAlign w:val="center"/>
          </w:tcPr>
          <w:p w14:paraId="3D0BEEF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果园</w:t>
            </w:r>
          </w:p>
        </w:tc>
        <w:tc>
          <w:tcPr>
            <w:tcW w:w="943" w:type="dxa"/>
            <w:gridSpan w:val="2"/>
            <w:vAlign w:val="center"/>
          </w:tcPr>
          <w:p w14:paraId="6A91562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c>
          <w:tcPr>
            <w:tcW w:w="1099" w:type="dxa"/>
            <w:gridSpan w:val="3"/>
            <w:vAlign w:val="center"/>
          </w:tcPr>
          <w:p w14:paraId="5F563B6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256" w:type="dxa"/>
            <w:gridSpan w:val="2"/>
            <w:vAlign w:val="center"/>
          </w:tcPr>
          <w:p w14:paraId="63A5049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c>
          <w:tcPr>
            <w:tcW w:w="2364" w:type="dxa"/>
            <w:gridSpan w:val="3"/>
            <w:vAlign w:val="center"/>
          </w:tcPr>
          <w:p w14:paraId="20DD13D7">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r>
      <w:tr w14:paraId="7676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386C43C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484" w:type="dxa"/>
            <w:gridSpan w:val="3"/>
            <w:vMerge w:val="restart"/>
            <w:vAlign w:val="center"/>
          </w:tcPr>
          <w:p w14:paraId="6C53D267">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林地</w:t>
            </w:r>
          </w:p>
        </w:tc>
        <w:tc>
          <w:tcPr>
            <w:tcW w:w="1067" w:type="dxa"/>
            <w:gridSpan w:val="2"/>
            <w:vAlign w:val="center"/>
          </w:tcPr>
          <w:p w14:paraId="4F071B2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乔木林地</w:t>
            </w:r>
          </w:p>
        </w:tc>
        <w:tc>
          <w:tcPr>
            <w:tcW w:w="943" w:type="dxa"/>
            <w:gridSpan w:val="2"/>
            <w:vAlign w:val="center"/>
          </w:tcPr>
          <w:p w14:paraId="1C1BDF0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c>
          <w:tcPr>
            <w:tcW w:w="1099" w:type="dxa"/>
            <w:gridSpan w:val="3"/>
            <w:vAlign w:val="center"/>
          </w:tcPr>
          <w:p w14:paraId="6C11041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256" w:type="dxa"/>
            <w:gridSpan w:val="2"/>
            <w:vAlign w:val="center"/>
          </w:tcPr>
          <w:p w14:paraId="1761699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c>
          <w:tcPr>
            <w:tcW w:w="2364" w:type="dxa"/>
            <w:gridSpan w:val="3"/>
            <w:vAlign w:val="center"/>
          </w:tcPr>
          <w:p w14:paraId="4FC501E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r>
      <w:tr w14:paraId="3D72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3BCBAA5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484" w:type="dxa"/>
            <w:gridSpan w:val="3"/>
            <w:vMerge w:val="continue"/>
            <w:vAlign w:val="center"/>
          </w:tcPr>
          <w:p w14:paraId="63235BB7">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067" w:type="dxa"/>
            <w:gridSpan w:val="2"/>
            <w:vAlign w:val="center"/>
          </w:tcPr>
          <w:p w14:paraId="1465D4D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其他林地</w:t>
            </w:r>
          </w:p>
        </w:tc>
        <w:tc>
          <w:tcPr>
            <w:tcW w:w="943" w:type="dxa"/>
            <w:gridSpan w:val="2"/>
            <w:vAlign w:val="center"/>
          </w:tcPr>
          <w:p w14:paraId="62B9209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c>
          <w:tcPr>
            <w:tcW w:w="1099" w:type="dxa"/>
            <w:gridSpan w:val="3"/>
            <w:vAlign w:val="center"/>
          </w:tcPr>
          <w:p w14:paraId="1DE57E2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256" w:type="dxa"/>
            <w:gridSpan w:val="2"/>
            <w:vAlign w:val="center"/>
          </w:tcPr>
          <w:p w14:paraId="6042C9C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c>
          <w:tcPr>
            <w:tcW w:w="2364" w:type="dxa"/>
            <w:gridSpan w:val="3"/>
            <w:vAlign w:val="center"/>
          </w:tcPr>
          <w:p w14:paraId="37BF239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r>
      <w:tr w14:paraId="7147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03" w:type="dxa"/>
            <w:vMerge w:val="continue"/>
            <w:vAlign w:val="center"/>
          </w:tcPr>
          <w:p w14:paraId="27DE04B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484" w:type="dxa"/>
            <w:gridSpan w:val="3"/>
            <w:vAlign w:val="center"/>
          </w:tcPr>
          <w:p w14:paraId="45D67A9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交通运输用地</w:t>
            </w:r>
          </w:p>
        </w:tc>
        <w:tc>
          <w:tcPr>
            <w:tcW w:w="1067" w:type="dxa"/>
            <w:gridSpan w:val="2"/>
            <w:vAlign w:val="center"/>
          </w:tcPr>
          <w:p w14:paraId="5E5A6CB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农村道路</w:t>
            </w:r>
          </w:p>
        </w:tc>
        <w:tc>
          <w:tcPr>
            <w:tcW w:w="943" w:type="dxa"/>
            <w:gridSpan w:val="2"/>
            <w:vAlign w:val="center"/>
          </w:tcPr>
          <w:p w14:paraId="4084F21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c>
          <w:tcPr>
            <w:tcW w:w="1099" w:type="dxa"/>
            <w:gridSpan w:val="3"/>
            <w:vAlign w:val="center"/>
          </w:tcPr>
          <w:p w14:paraId="5EF3B7A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256" w:type="dxa"/>
            <w:gridSpan w:val="2"/>
            <w:vAlign w:val="center"/>
          </w:tcPr>
          <w:p w14:paraId="3FA3559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c>
          <w:tcPr>
            <w:tcW w:w="2364" w:type="dxa"/>
            <w:gridSpan w:val="3"/>
            <w:vAlign w:val="center"/>
          </w:tcPr>
          <w:p w14:paraId="03AF7A9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r>
      <w:tr w14:paraId="6532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vMerge w:val="continue"/>
            <w:vAlign w:val="center"/>
          </w:tcPr>
          <w:p w14:paraId="22BD525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484" w:type="dxa"/>
            <w:gridSpan w:val="3"/>
            <w:vAlign w:val="center"/>
          </w:tcPr>
          <w:p w14:paraId="384D50E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水利设施用地</w:t>
            </w:r>
          </w:p>
        </w:tc>
        <w:tc>
          <w:tcPr>
            <w:tcW w:w="1067" w:type="dxa"/>
            <w:gridSpan w:val="2"/>
            <w:vAlign w:val="center"/>
          </w:tcPr>
          <w:p w14:paraId="6EEE329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沟渠</w:t>
            </w:r>
          </w:p>
        </w:tc>
        <w:tc>
          <w:tcPr>
            <w:tcW w:w="943" w:type="dxa"/>
            <w:gridSpan w:val="2"/>
            <w:vAlign w:val="center"/>
          </w:tcPr>
          <w:p w14:paraId="36F5C79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c>
          <w:tcPr>
            <w:tcW w:w="1099" w:type="dxa"/>
            <w:gridSpan w:val="3"/>
            <w:vAlign w:val="center"/>
          </w:tcPr>
          <w:p w14:paraId="44CDA47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256" w:type="dxa"/>
            <w:gridSpan w:val="2"/>
            <w:vAlign w:val="center"/>
          </w:tcPr>
          <w:p w14:paraId="2F63A3E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c>
          <w:tcPr>
            <w:tcW w:w="2364" w:type="dxa"/>
            <w:gridSpan w:val="3"/>
            <w:vAlign w:val="center"/>
          </w:tcPr>
          <w:p w14:paraId="1EA147E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r>
      <w:tr w14:paraId="230F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1A9A83D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484" w:type="dxa"/>
            <w:gridSpan w:val="3"/>
            <w:vAlign w:val="center"/>
          </w:tcPr>
          <w:p w14:paraId="683CB44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其它土地</w:t>
            </w:r>
          </w:p>
        </w:tc>
        <w:tc>
          <w:tcPr>
            <w:tcW w:w="1067" w:type="dxa"/>
            <w:gridSpan w:val="2"/>
            <w:vAlign w:val="center"/>
          </w:tcPr>
          <w:p w14:paraId="2F0C10D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田坎</w:t>
            </w:r>
          </w:p>
        </w:tc>
        <w:tc>
          <w:tcPr>
            <w:tcW w:w="943" w:type="dxa"/>
            <w:gridSpan w:val="2"/>
            <w:vAlign w:val="center"/>
          </w:tcPr>
          <w:p w14:paraId="15F15DE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c>
          <w:tcPr>
            <w:tcW w:w="1099" w:type="dxa"/>
            <w:gridSpan w:val="3"/>
            <w:vAlign w:val="center"/>
          </w:tcPr>
          <w:p w14:paraId="514B2C0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256" w:type="dxa"/>
            <w:gridSpan w:val="2"/>
            <w:vAlign w:val="center"/>
          </w:tcPr>
          <w:p w14:paraId="660C900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sz w:val="21"/>
                <w:szCs w:val="21"/>
              </w:rPr>
              <w:t>***</w:t>
            </w:r>
          </w:p>
        </w:tc>
        <w:tc>
          <w:tcPr>
            <w:tcW w:w="2364" w:type="dxa"/>
            <w:gridSpan w:val="3"/>
            <w:vAlign w:val="center"/>
          </w:tcPr>
          <w:p w14:paraId="79D0A48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r>
      <w:tr w14:paraId="2986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4CDAC327">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551" w:type="dxa"/>
            <w:gridSpan w:val="5"/>
            <w:vAlign w:val="center"/>
          </w:tcPr>
          <w:p w14:paraId="30BC178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合计</w:t>
            </w:r>
          </w:p>
        </w:tc>
        <w:tc>
          <w:tcPr>
            <w:tcW w:w="943" w:type="dxa"/>
            <w:gridSpan w:val="2"/>
            <w:vAlign w:val="center"/>
          </w:tcPr>
          <w:p w14:paraId="06A47CE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5.2245</w:t>
            </w:r>
          </w:p>
        </w:tc>
        <w:tc>
          <w:tcPr>
            <w:tcW w:w="1099" w:type="dxa"/>
            <w:gridSpan w:val="3"/>
            <w:vAlign w:val="center"/>
          </w:tcPr>
          <w:p w14:paraId="30EF022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256" w:type="dxa"/>
            <w:gridSpan w:val="2"/>
            <w:vAlign w:val="center"/>
          </w:tcPr>
          <w:p w14:paraId="48D988D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5.2245</w:t>
            </w:r>
          </w:p>
        </w:tc>
        <w:tc>
          <w:tcPr>
            <w:tcW w:w="2364" w:type="dxa"/>
            <w:gridSpan w:val="3"/>
            <w:vAlign w:val="center"/>
          </w:tcPr>
          <w:p w14:paraId="7F01055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r>
      <w:tr w14:paraId="770C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restart"/>
            <w:vAlign w:val="center"/>
          </w:tcPr>
          <w:p w14:paraId="5E42239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复垦责任范围内土地损毁及占用面积</w:t>
            </w:r>
          </w:p>
        </w:tc>
        <w:tc>
          <w:tcPr>
            <w:tcW w:w="2551" w:type="dxa"/>
            <w:gridSpan w:val="5"/>
            <w:vMerge w:val="restart"/>
            <w:vAlign w:val="center"/>
          </w:tcPr>
          <w:p w14:paraId="5AE469B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类型</w:t>
            </w:r>
          </w:p>
        </w:tc>
        <w:tc>
          <w:tcPr>
            <w:tcW w:w="5662" w:type="dxa"/>
            <w:gridSpan w:val="10"/>
            <w:vAlign w:val="center"/>
          </w:tcPr>
          <w:p w14:paraId="1D33B74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面积（hm²）</w:t>
            </w:r>
          </w:p>
        </w:tc>
      </w:tr>
      <w:tr w14:paraId="3642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2C3A172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551" w:type="dxa"/>
            <w:gridSpan w:val="5"/>
            <w:vMerge w:val="continue"/>
            <w:vAlign w:val="center"/>
          </w:tcPr>
          <w:p w14:paraId="510AA01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574" w:type="dxa"/>
            <w:gridSpan w:val="3"/>
            <w:vAlign w:val="center"/>
          </w:tcPr>
          <w:p w14:paraId="5FEA825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小计</w:t>
            </w:r>
          </w:p>
        </w:tc>
        <w:tc>
          <w:tcPr>
            <w:tcW w:w="1724" w:type="dxa"/>
            <w:gridSpan w:val="4"/>
            <w:vAlign w:val="center"/>
          </w:tcPr>
          <w:p w14:paraId="76955C7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已损毁或占用</w:t>
            </w:r>
          </w:p>
        </w:tc>
        <w:tc>
          <w:tcPr>
            <w:tcW w:w="2364" w:type="dxa"/>
            <w:gridSpan w:val="3"/>
            <w:vAlign w:val="center"/>
          </w:tcPr>
          <w:p w14:paraId="6F09AFB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拟损毁或占用</w:t>
            </w:r>
          </w:p>
        </w:tc>
      </w:tr>
      <w:tr w14:paraId="1B3F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2BBCAB8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178" w:type="dxa"/>
            <w:gridSpan w:val="2"/>
            <w:vMerge w:val="restart"/>
            <w:vAlign w:val="center"/>
          </w:tcPr>
          <w:p w14:paraId="5268A48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损毁</w:t>
            </w:r>
          </w:p>
        </w:tc>
        <w:tc>
          <w:tcPr>
            <w:tcW w:w="1373" w:type="dxa"/>
            <w:gridSpan w:val="3"/>
            <w:vAlign w:val="center"/>
          </w:tcPr>
          <w:p w14:paraId="0B50EE2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挖损</w:t>
            </w:r>
          </w:p>
        </w:tc>
        <w:tc>
          <w:tcPr>
            <w:tcW w:w="1574" w:type="dxa"/>
            <w:gridSpan w:val="3"/>
            <w:vAlign w:val="center"/>
          </w:tcPr>
          <w:p w14:paraId="3C752D4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5.0649</w:t>
            </w:r>
          </w:p>
        </w:tc>
        <w:tc>
          <w:tcPr>
            <w:tcW w:w="1724" w:type="dxa"/>
            <w:gridSpan w:val="4"/>
            <w:vAlign w:val="center"/>
          </w:tcPr>
          <w:p w14:paraId="7A77FC5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614800E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5.0649</w:t>
            </w:r>
          </w:p>
        </w:tc>
      </w:tr>
      <w:tr w14:paraId="38D0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2AB17D9C">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178" w:type="dxa"/>
            <w:gridSpan w:val="2"/>
            <w:vMerge w:val="continue"/>
            <w:vAlign w:val="center"/>
          </w:tcPr>
          <w:p w14:paraId="2453FEC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373" w:type="dxa"/>
            <w:gridSpan w:val="3"/>
            <w:vAlign w:val="center"/>
          </w:tcPr>
          <w:p w14:paraId="7121E5F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塌陷</w:t>
            </w:r>
          </w:p>
        </w:tc>
        <w:tc>
          <w:tcPr>
            <w:tcW w:w="1574" w:type="dxa"/>
            <w:gridSpan w:val="3"/>
            <w:vAlign w:val="center"/>
          </w:tcPr>
          <w:p w14:paraId="47ABD13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724" w:type="dxa"/>
            <w:gridSpan w:val="4"/>
            <w:vAlign w:val="center"/>
          </w:tcPr>
          <w:p w14:paraId="265F8BD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2125F8B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r>
      <w:tr w14:paraId="2E0F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3AF56A9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178" w:type="dxa"/>
            <w:gridSpan w:val="2"/>
            <w:vMerge w:val="continue"/>
            <w:vAlign w:val="center"/>
          </w:tcPr>
          <w:p w14:paraId="27E6469C">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373" w:type="dxa"/>
            <w:gridSpan w:val="3"/>
            <w:vAlign w:val="center"/>
          </w:tcPr>
          <w:p w14:paraId="632CA5D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压占</w:t>
            </w:r>
          </w:p>
        </w:tc>
        <w:tc>
          <w:tcPr>
            <w:tcW w:w="1574" w:type="dxa"/>
            <w:gridSpan w:val="3"/>
            <w:vAlign w:val="center"/>
          </w:tcPr>
          <w:p w14:paraId="59C16BE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0.1596</w:t>
            </w:r>
          </w:p>
        </w:tc>
        <w:tc>
          <w:tcPr>
            <w:tcW w:w="1724" w:type="dxa"/>
            <w:gridSpan w:val="4"/>
            <w:vAlign w:val="center"/>
          </w:tcPr>
          <w:p w14:paraId="27125967">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2AD6C6B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0.1596</w:t>
            </w:r>
          </w:p>
        </w:tc>
      </w:tr>
      <w:tr w14:paraId="6422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6E1B39B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178" w:type="dxa"/>
            <w:gridSpan w:val="2"/>
            <w:vMerge w:val="continue"/>
            <w:vAlign w:val="center"/>
          </w:tcPr>
          <w:p w14:paraId="3479B74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373" w:type="dxa"/>
            <w:gridSpan w:val="3"/>
            <w:vAlign w:val="center"/>
          </w:tcPr>
          <w:p w14:paraId="2B0CBA1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污染</w:t>
            </w:r>
          </w:p>
        </w:tc>
        <w:tc>
          <w:tcPr>
            <w:tcW w:w="1574" w:type="dxa"/>
            <w:gridSpan w:val="3"/>
            <w:vAlign w:val="center"/>
          </w:tcPr>
          <w:p w14:paraId="506B907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724" w:type="dxa"/>
            <w:gridSpan w:val="4"/>
            <w:vAlign w:val="center"/>
          </w:tcPr>
          <w:p w14:paraId="208E253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2860580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r>
      <w:tr w14:paraId="226C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54B1710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178" w:type="dxa"/>
            <w:gridSpan w:val="2"/>
            <w:vMerge w:val="continue"/>
            <w:vAlign w:val="center"/>
          </w:tcPr>
          <w:p w14:paraId="4BDFFCB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373" w:type="dxa"/>
            <w:gridSpan w:val="3"/>
            <w:vAlign w:val="center"/>
          </w:tcPr>
          <w:p w14:paraId="006534A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小计</w:t>
            </w:r>
          </w:p>
        </w:tc>
        <w:tc>
          <w:tcPr>
            <w:tcW w:w="1574" w:type="dxa"/>
            <w:gridSpan w:val="3"/>
            <w:vAlign w:val="center"/>
          </w:tcPr>
          <w:p w14:paraId="34BF3A7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5.2245</w:t>
            </w:r>
          </w:p>
        </w:tc>
        <w:tc>
          <w:tcPr>
            <w:tcW w:w="1724" w:type="dxa"/>
            <w:gridSpan w:val="4"/>
            <w:vAlign w:val="center"/>
          </w:tcPr>
          <w:p w14:paraId="69ABFAA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0263942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5.2245</w:t>
            </w:r>
          </w:p>
        </w:tc>
      </w:tr>
      <w:tr w14:paraId="330F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0D24B90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551" w:type="dxa"/>
            <w:gridSpan w:val="5"/>
            <w:vAlign w:val="center"/>
          </w:tcPr>
          <w:p w14:paraId="6F1E3C1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占用</w:t>
            </w:r>
          </w:p>
        </w:tc>
        <w:tc>
          <w:tcPr>
            <w:tcW w:w="1574" w:type="dxa"/>
            <w:gridSpan w:val="3"/>
            <w:vAlign w:val="center"/>
          </w:tcPr>
          <w:p w14:paraId="7977B97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1724" w:type="dxa"/>
            <w:gridSpan w:val="4"/>
            <w:vAlign w:val="center"/>
          </w:tcPr>
          <w:p w14:paraId="4D8F9D1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6623C8EC">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r>
      <w:tr w14:paraId="0AFB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03" w:type="dxa"/>
            <w:vMerge w:val="continue"/>
            <w:vAlign w:val="center"/>
          </w:tcPr>
          <w:p w14:paraId="58D2866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551" w:type="dxa"/>
            <w:gridSpan w:val="5"/>
            <w:vAlign w:val="center"/>
          </w:tcPr>
          <w:p w14:paraId="601C842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合计</w:t>
            </w:r>
          </w:p>
        </w:tc>
        <w:tc>
          <w:tcPr>
            <w:tcW w:w="1574" w:type="dxa"/>
            <w:gridSpan w:val="3"/>
            <w:vAlign w:val="center"/>
          </w:tcPr>
          <w:p w14:paraId="6FDE23E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5.2245</w:t>
            </w:r>
          </w:p>
        </w:tc>
        <w:tc>
          <w:tcPr>
            <w:tcW w:w="1724" w:type="dxa"/>
            <w:gridSpan w:val="4"/>
            <w:vAlign w:val="center"/>
          </w:tcPr>
          <w:p w14:paraId="3BF7D03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62FA136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5.2245</w:t>
            </w:r>
          </w:p>
        </w:tc>
      </w:tr>
      <w:tr w14:paraId="1D6E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restart"/>
            <w:vAlign w:val="center"/>
          </w:tcPr>
          <w:p w14:paraId="71DE8F5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复</w:t>
            </w:r>
          </w:p>
          <w:p w14:paraId="73B9D68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垦</w:t>
            </w:r>
          </w:p>
          <w:p w14:paraId="1DCE4BB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面</w:t>
            </w:r>
          </w:p>
          <w:p w14:paraId="3D484BC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积</w:t>
            </w:r>
          </w:p>
        </w:tc>
        <w:tc>
          <w:tcPr>
            <w:tcW w:w="2551" w:type="dxa"/>
            <w:gridSpan w:val="5"/>
            <w:vMerge w:val="restart"/>
            <w:vAlign w:val="center"/>
          </w:tcPr>
          <w:p w14:paraId="154FF53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一级地类</w:t>
            </w:r>
          </w:p>
        </w:tc>
        <w:tc>
          <w:tcPr>
            <w:tcW w:w="1574" w:type="dxa"/>
            <w:gridSpan w:val="3"/>
            <w:vMerge w:val="restart"/>
            <w:vAlign w:val="center"/>
          </w:tcPr>
          <w:p w14:paraId="1581D74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二级地类</w:t>
            </w:r>
          </w:p>
        </w:tc>
        <w:tc>
          <w:tcPr>
            <w:tcW w:w="4088" w:type="dxa"/>
            <w:gridSpan w:val="7"/>
            <w:vAlign w:val="center"/>
          </w:tcPr>
          <w:p w14:paraId="65C4EB7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面积（hm²）</w:t>
            </w:r>
          </w:p>
        </w:tc>
      </w:tr>
      <w:tr w14:paraId="1611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32CEE78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551" w:type="dxa"/>
            <w:gridSpan w:val="5"/>
            <w:vMerge w:val="continue"/>
            <w:vAlign w:val="center"/>
          </w:tcPr>
          <w:p w14:paraId="4168D7A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574" w:type="dxa"/>
            <w:gridSpan w:val="3"/>
            <w:vMerge w:val="continue"/>
            <w:vAlign w:val="center"/>
          </w:tcPr>
          <w:p w14:paraId="362DE8B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1724" w:type="dxa"/>
            <w:gridSpan w:val="4"/>
            <w:vAlign w:val="center"/>
          </w:tcPr>
          <w:p w14:paraId="79826F5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已复垦</w:t>
            </w:r>
          </w:p>
        </w:tc>
        <w:tc>
          <w:tcPr>
            <w:tcW w:w="2364" w:type="dxa"/>
            <w:gridSpan w:val="3"/>
            <w:vAlign w:val="center"/>
          </w:tcPr>
          <w:p w14:paraId="2DCB3A9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拟复垦</w:t>
            </w:r>
          </w:p>
        </w:tc>
      </w:tr>
      <w:tr w14:paraId="35DA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03" w:type="dxa"/>
            <w:vMerge w:val="continue"/>
            <w:vAlign w:val="center"/>
          </w:tcPr>
          <w:p w14:paraId="6F89D24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551" w:type="dxa"/>
            <w:gridSpan w:val="5"/>
            <w:vAlign w:val="center"/>
          </w:tcPr>
          <w:p w14:paraId="4599BD0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耕地</w:t>
            </w:r>
          </w:p>
        </w:tc>
        <w:tc>
          <w:tcPr>
            <w:tcW w:w="1574" w:type="dxa"/>
            <w:gridSpan w:val="3"/>
            <w:vAlign w:val="center"/>
          </w:tcPr>
          <w:p w14:paraId="2654791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旱地</w:t>
            </w:r>
          </w:p>
        </w:tc>
        <w:tc>
          <w:tcPr>
            <w:tcW w:w="1724" w:type="dxa"/>
            <w:gridSpan w:val="4"/>
            <w:vAlign w:val="center"/>
          </w:tcPr>
          <w:p w14:paraId="6C2E88E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4F10C29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0.3494</w:t>
            </w:r>
          </w:p>
        </w:tc>
      </w:tr>
      <w:tr w14:paraId="7288E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0A8C118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551" w:type="dxa"/>
            <w:gridSpan w:val="5"/>
            <w:vAlign w:val="center"/>
          </w:tcPr>
          <w:p w14:paraId="7A4D324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种植园地</w:t>
            </w:r>
          </w:p>
        </w:tc>
        <w:tc>
          <w:tcPr>
            <w:tcW w:w="1574" w:type="dxa"/>
            <w:gridSpan w:val="3"/>
            <w:vAlign w:val="center"/>
          </w:tcPr>
          <w:p w14:paraId="36503DA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果园</w:t>
            </w:r>
          </w:p>
        </w:tc>
        <w:tc>
          <w:tcPr>
            <w:tcW w:w="1724" w:type="dxa"/>
            <w:gridSpan w:val="4"/>
            <w:vAlign w:val="center"/>
          </w:tcPr>
          <w:p w14:paraId="0A42764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583397B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0.2816</w:t>
            </w:r>
          </w:p>
        </w:tc>
      </w:tr>
      <w:tr w14:paraId="4085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3C79E53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551" w:type="dxa"/>
            <w:gridSpan w:val="5"/>
            <w:vAlign w:val="center"/>
          </w:tcPr>
          <w:p w14:paraId="2208B777">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林地</w:t>
            </w:r>
          </w:p>
        </w:tc>
        <w:tc>
          <w:tcPr>
            <w:tcW w:w="1574" w:type="dxa"/>
            <w:gridSpan w:val="3"/>
            <w:vAlign w:val="center"/>
          </w:tcPr>
          <w:p w14:paraId="7269E2F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乔木林地</w:t>
            </w:r>
          </w:p>
        </w:tc>
        <w:tc>
          <w:tcPr>
            <w:tcW w:w="1724" w:type="dxa"/>
            <w:gridSpan w:val="4"/>
            <w:vAlign w:val="center"/>
          </w:tcPr>
          <w:p w14:paraId="39402A5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72A27F7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0.7376</w:t>
            </w:r>
          </w:p>
        </w:tc>
      </w:tr>
      <w:tr w14:paraId="7D64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7F87FD3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551" w:type="dxa"/>
            <w:gridSpan w:val="5"/>
            <w:vAlign w:val="center"/>
          </w:tcPr>
          <w:p w14:paraId="79BED30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草地</w:t>
            </w:r>
          </w:p>
        </w:tc>
        <w:tc>
          <w:tcPr>
            <w:tcW w:w="1574" w:type="dxa"/>
            <w:gridSpan w:val="3"/>
            <w:vAlign w:val="center"/>
          </w:tcPr>
          <w:p w14:paraId="3F576D4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其他草地</w:t>
            </w:r>
          </w:p>
        </w:tc>
        <w:tc>
          <w:tcPr>
            <w:tcW w:w="1724" w:type="dxa"/>
            <w:gridSpan w:val="4"/>
            <w:vAlign w:val="center"/>
          </w:tcPr>
          <w:p w14:paraId="223EA04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5A6482C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3.6881</w:t>
            </w:r>
          </w:p>
        </w:tc>
      </w:tr>
      <w:tr w14:paraId="0A87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62B476D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551" w:type="dxa"/>
            <w:gridSpan w:val="5"/>
            <w:vAlign w:val="center"/>
          </w:tcPr>
          <w:p w14:paraId="32B8AA3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交通运输用地</w:t>
            </w:r>
          </w:p>
        </w:tc>
        <w:tc>
          <w:tcPr>
            <w:tcW w:w="1574" w:type="dxa"/>
            <w:gridSpan w:val="3"/>
            <w:vAlign w:val="center"/>
          </w:tcPr>
          <w:p w14:paraId="6192ABEA">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农村道路</w:t>
            </w:r>
          </w:p>
        </w:tc>
        <w:tc>
          <w:tcPr>
            <w:tcW w:w="1724" w:type="dxa"/>
            <w:gridSpan w:val="4"/>
            <w:vAlign w:val="center"/>
          </w:tcPr>
          <w:p w14:paraId="4D93BB0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6C6F675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0.0814</w:t>
            </w:r>
          </w:p>
        </w:tc>
      </w:tr>
      <w:tr w14:paraId="3E3F7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Merge w:val="continue"/>
            <w:vAlign w:val="center"/>
          </w:tcPr>
          <w:p w14:paraId="2D986A1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551" w:type="dxa"/>
            <w:gridSpan w:val="5"/>
            <w:vAlign w:val="center"/>
          </w:tcPr>
          <w:p w14:paraId="2AC37AD8">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水利设施用地</w:t>
            </w:r>
          </w:p>
        </w:tc>
        <w:tc>
          <w:tcPr>
            <w:tcW w:w="1574" w:type="dxa"/>
            <w:gridSpan w:val="3"/>
            <w:vAlign w:val="center"/>
          </w:tcPr>
          <w:p w14:paraId="077D656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沟渠</w:t>
            </w:r>
          </w:p>
        </w:tc>
        <w:tc>
          <w:tcPr>
            <w:tcW w:w="1724" w:type="dxa"/>
            <w:gridSpan w:val="4"/>
            <w:vAlign w:val="center"/>
          </w:tcPr>
          <w:p w14:paraId="63F500E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4440793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0.0089</w:t>
            </w:r>
          </w:p>
        </w:tc>
      </w:tr>
      <w:tr w14:paraId="6C49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03" w:type="dxa"/>
            <w:vMerge w:val="continue"/>
            <w:vAlign w:val="center"/>
          </w:tcPr>
          <w:p w14:paraId="63B5E3B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2551" w:type="dxa"/>
            <w:gridSpan w:val="5"/>
            <w:vAlign w:val="center"/>
          </w:tcPr>
          <w:p w14:paraId="31CECA5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其他土地</w:t>
            </w:r>
          </w:p>
        </w:tc>
        <w:tc>
          <w:tcPr>
            <w:tcW w:w="1574" w:type="dxa"/>
            <w:gridSpan w:val="3"/>
            <w:vAlign w:val="center"/>
          </w:tcPr>
          <w:p w14:paraId="1DACB3D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田坎</w:t>
            </w:r>
          </w:p>
        </w:tc>
        <w:tc>
          <w:tcPr>
            <w:tcW w:w="1724" w:type="dxa"/>
            <w:gridSpan w:val="4"/>
            <w:vAlign w:val="center"/>
          </w:tcPr>
          <w:p w14:paraId="615D0C5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6061728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0.0775</w:t>
            </w:r>
          </w:p>
        </w:tc>
      </w:tr>
      <w:tr w14:paraId="6D79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03" w:type="dxa"/>
            <w:vMerge w:val="continue"/>
            <w:vAlign w:val="center"/>
          </w:tcPr>
          <w:p w14:paraId="5AA8CCA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4125" w:type="dxa"/>
            <w:gridSpan w:val="8"/>
            <w:vAlign w:val="center"/>
          </w:tcPr>
          <w:p w14:paraId="7AFC9C5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合计</w:t>
            </w:r>
          </w:p>
        </w:tc>
        <w:tc>
          <w:tcPr>
            <w:tcW w:w="1724" w:type="dxa"/>
            <w:gridSpan w:val="4"/>
            <w:vAlign w:val="center"/>
          </w:tcPr>
          <w:p w14:paraId="18519FA5">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w:t>
            </w:r>
          </w:p>
        </w:tc>
        <w:tc>
          <w:tcPr>
            <w:tcW w:w="2364" w:type="dxa"/>
            <w:gridSpan w:val="3"/>
            <w:vAlign w:val="center"/>
          </w:tcPr>
          <w:p w14:paraId="24A2431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5.2245</w:t>
            </w:r>
          </w:p>
        </w:tc>
      </w:tr>
      <w:tr w14:paraId="7A29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703" w:type="dxa"/>
            <w:vMerge w:val="continue"/>
            <w:vAlign w:val="center"/>
          </w:tcPr>
          <w:p w14:paraId="342599D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tc>
        <w:tc>
          <w:tcPr>
            <w:tcW w:w="4125" w:type="dxa"/>
            <w:gridSpan w:val="8"/>
            <w:vAlign w:val="center"/>
          </w:tcPr>
          <w:p w14:paraId="0B44C8C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土地复垦率（%）</w:t>
            </w:r>
          </w:p>
        </w:tc>
        <w:tc>
          <w:tcPr>
            <w:tcW w:w="4088" w:type="dxa"/>
            <w:gridSpan w:val="7"/>
            <w:vAlign w:val="center"/>
          </w:tcPr>
          <w:p w14:paraId="25029E5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100</w:t>
            </w:r>
            <w:r>
              <w:rPr>
                <w:rFonts w:hint="eastAsia" w:ascii="Times New Roman" w:hAnsi="Times New Roman" w:eastAsia="方正仿宋_GBK" w:cs="Times New Roman"/>
                <w:bCs/>
                <w:snapToGrid w:val="0"/>
                <w:color w:val="auto"/>
                <w:kern w:val="2"/>
                <w:sz w:val="21"/>
                <w:szCs w:val="21"/>
                <w:highlight w:val="none"/>
                <w:lang w:val="en-US" w:eastAsia="zh-CN" w:bidi="ar-SA"/>
              </w:rPr>
              <w:t>%</w:t>
            </w:r>
          </w:p>
        </w:tc>
      </w:tr>
      <w:tr w14:paraId="79DD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2" w:hRule="atLeast"/>
          <w:jc w:val="center"/>
        </w:trPr>
        <w:tc>
          <w:tcPr>
            <w:tcW w:w="703" w:type="dxa"/>
            <w:vAlign w:val="center"/>
          </w:tcPr>
          <w:p w14:paraId="02C60C8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工</w:t>
            </w:r>
          </w:p>
          <w:p w14:paraId="2DD7174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作</w:t>
            </w:r>
          </w:p>
          <w:p w14:paraId="1DD1B71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计</w:t>
            </w:r>
          </w:p>
          <w:p w14:paraId="1B12070D">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划</w:t>
            </w:r>
          </w:p>
          <w:p w14:paraId="7BAB195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及</w:t>
            </w:r>
          </w:p>
          <w:p w14:paraId="70C96D27">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保</w:t>
            </w:r>
          </w:p>
          <w:p w14:paraId="6EC6ED1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障</w:t>
            </w:r>
          </w:p>
          <w:p w14:paraId="2BAF8F9E">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措</w:t>
            </w:r>
          </w:p>
          <w:p w14:paraId="74DC444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施</w:t>
            </w:r>
          </w:p>
        </w:tc>
        <w:tc>
          <w:tcPr>
            <w:tcW w:w="8213" w:type="dxa"/>
            <w:gridSpan w:val="15"/>
            <w:vAlign w:val="center"/>
          </w:tcPr>
          <w:p w14:paraId="44D6572A">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1、复垦工作计划：</w:t>
            </w:r>
          </w:p>
          <w:p w14:paraId="1C07CF6F">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（1）工作计划：</w:t>
            </w:r>
          </w:p>
          <w:p w14:paraId="1322531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根据云南成品油管道昆明支线改线工程临时用地的施工工艺、建设年限、建设进度及土地损毁程度，按照边施工边复垦的原则制定土地复垦工程进度，以保证尽快及时复垦被损毁的土地。本方案服务年限为</w:t>
            </w:r>
            <w:r>
              <w:rPr>
                <w:rFonts w:hint="default" w:ascii="Times New Roman" w:hAnsi="Times New Roman" w:eastAsia="方正仿宋_GBK" w:cs="Times New Roman"/>
                <w:color w:val="auto"/>
                <w:kern w:val="2"/>
                <w:sz w:val="21"/>
                <w:szCs w:val="21"/>
                <w:lang w:val="en-US" w:eastAsia="zh-CN" w:bidi="ar-SA"/>
              </w:rPr>
              <w:t>4.0年</w:t>
            </w:r>
            <w:r>
              <w:rPr>
                <w:rFonts w:hint="default" w:ascii="Times New Roman" w:hAnsi="Times New Roman" w:eastAsia="方正仿宋_GBK" w:cs="Times New Roman"/>
                <w:color w:val="auto"/>
                <w:kern w:val="2"/>
                <w:sz w:val="21"/>
                <w:szCs w:val="21"/>
                <w:lang w:val="zh-CN" w:eastAsia="zh-CN" w:bidi="ar-SA"/>
              </w:rPr>
              <w:t>，</w:t>
            </w:r>
            <w:r>
              <w:rPr>
                <w:rFonts w:hint="default" w:ascii="Times New Roman" w:hAnsi="Times New Roman" w:eastAsia="方正仿宋_GBK" w:cs="Times New Roman"/>
                <w:color w:val="auto"/>
                <w:kern w:val="2"/>
                <w:sz w:val="21"/>
                <w:szCs w:val="21"/>
                <w:lang w:val="en-US" w:eastAsia="zh-CN" w:bidi="ar-SA"/>
              </w:rPr>
              <w:t>分1个阶段</w:t>
            </w:r>
            <w:r>
              <w:rPr>
                <w:rFonts w:hint="default" w:ascii="Times New Roman" w:hAnsi="Times New Roman" w:eastAsia="方正仿宋_GBK" w:cs="Times New Roman"/>
                <w:color w:val="auto"/>
                <w:kern w:val="2"/>
                <w:sz w:val="21"/>
                <w:szCs w:val="21"/>
                <w:lang w:val="zh-CN" w:eastAsia="zh-CN" w:bidi="ar-SA"/>
              </w:rPr>
              <w:t>，土地复垦计划安排如下：</w:t>
            </w:r>
          </w:p>
          <w:p w14:paraId="1FB1200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b/>
                <w:bCs/>
                <w:color w:val="auto"/>
                <w:kern w:val="2"/>
                <w:sz w:val="21"/>
                <w:szCs w:val="21"/>
                <w:lang w:val="zh-CN" w:eastAsia="zh-CN" w:bidi="ar-SA"/>
              </w:rPr>
            </w:pPr>
            <w:r>
              <w:rPr>
                <w:rFonts w:hint="default" w:ascii="Times New Roman" w:hAnsi="Times New Roman" w:eastAsia="方正仿宋_GBK" w:cs="Times New Roman"/>
                <w:b/>
                <w:bCs/>
                <w:color w:val="auto"/>
                <w:kern w:val="2"/>
                <w:sz w:val="21"/>
                <w:szCs w:val="21"/>
                <w:lang w:val="zh-CN" w:eastAsia="zh-CN" w:bidi="ar-SA"/>
              </w:rPr>
              <w:t>a）第一阶段：202</w:t>
            </w:r>
            <w:r>
              <w:rPr>
                <w:rFonts w:hint="default" w:ascii="Times New Roman" w:hAnsi="Times New Roman" w:eastAsia="方正仿宋_GBK" w:cs="Times New Roman"/>
                <w:b/>
                <w:bCs/>
                <w:color w:val="auto"/>
                <w:kern w:val="2"/>
                <w:sz w:val="21"/>
                <w:szCs w:val="21"/>
                <w:lang w:val="en-US" w:eastAsia="zh-CN" w:bidi="ar-SA"/>
              </w:rPr>
              <w:t>4</w:t>
            </w:r>
            <w:r>
              <w:rPr>
                <w:rFonts w:hint="default" w:ascii="Times New Roman" w:hAnsi="Times New Roman" w:eastAsia="方正仿宋_GBK" w:cs="Times New Roman"/>
                <w:b/>
                <w:bCs/>
                <w:color w:val="auto"/>
                <w:kern w:val="2"/>
                <w:sz w:val="21"/>
                <w:szCs w:val="21"/>
                <w:lang w:val="zh-CN" w:eastAsia="zh-CN" w:bidi="ar-SA"/>
              </w:rPr>
              <w:t>年</w:t>
            </w:r>
            <w:r>
              <w:rPr>
                <w:rFonts w:hint="default" w:ascii="Times New Roman" w:hAnsi="Times New Roman" w:eastAsia="方正仿宋_GBK" w:cs="Times New Roman"/>
                <w:b/>
                <w:bCs/>
                <w:color w:val="auto"/>
                <w:kern w:val="2"/>
                <w:sz w:val="21"/>
                <w:szCs w:val="21"/>
                <w:lang w:val="en-US" w:eastAsia="zh-CN" w:bidi="ar-SA"/>
              </w:rPr>
              <w:t>1</w:t>
            </w:r>
            <w:r>
              <w:rPr>
                <w:rFonts w:hint="default" w:ascii="Times New Roman" w:hAnsi="Times New Roman" w:eastAsia="方正仿宋_GBK" w:cs="Times New Roman"/>
                <w:b/>
                <w:bCs/>
                <w:color w:val="auto"/>
                <w:kern w:val="2"/>
                <w:sz w:val="21"/>
                <w:szCs w:val="21"/>
                <w:lang w:val="zh-CN" w:eastAsia="zh-CN" w:bidi="ar-SA"/>
              </w:rPr>
              <w:t>月～202</w:t>
            </w:r>
            <w:r>
              <w:rPr>
                <w:rFonts w:hint="default" w:ascii="Times New Roman" w:hAnsi="Times New Roman" w:eastAsia="方正仿宋_GBK" w:cs="Times New Roman"/>
                <w:b/>
                <w:bCs/>
                <w:color w:val="auto"/>
                <w:kern w:val="2"/>
                <w:sz w:val="21"/>
                <w:szCs w:val="21"/>
                <w:lang w:val="en-US" w:eastAsia="zh-CN" w:bidi="ar-SA"/>
              </w:rPr>
              <w:t>7</w:t>
            </w:r>
            <w:r>
              <w:rPr>
                <w:rFonts w:hint="default" w:ascii="Times New Roman" w:hAnsi="Times New Roman" w:eastAsia="方正仿宋_GBK" w:cs="Times New Roman"/>
                <w:b/>
                <w:bCs/>
                <w:color w:val="auto"/>
                <w:kern w:val="2"/>
                <w:sz w:val="21"/>
                <w:szCs w:val="21"/>
                <w:lang w:val="zh-CN" w:eastAsia="zh-CN" w:bidi="ar-SA"/>
              </w:rPr>
              <w:t>年</w:t>
            </w:r>
            <w:r>
              <w:rPr>
                <w:rFonts w:hint="default" w:ascii="Times New Roman" w:hAnsi="Times New Roman" w:eastAsia="方正仿宋_GBK" w:cs="Times New Roman"/>
                <w:b/>
                <w:bCs/>
                <w:color w:val="auto"/>
                <w:kern w:val="2"/>
                <w:sz w:val="21"/>
                <w:szCs w:val="21"/>
                <w:lang w:val="en-US" w:eastAsia="zh-CN" w:bidi="ar-SA"/>
              </w:rPr>
              <w:t>12</w:t>
            </w:r>
            <w:r>
              <w:rPr>
                <w:rFonts w:hint="default" w:ascii="Times New Roman" w:hAnsi="Times New Roman" w:eastAsia="方正仿宋_GBK" w:cs="Times New Roman"/>
                <w:b/>
                <w:bCs/>
                <w:color w:val="auto"/>
                <w:kern w:val="2"/>
                <w:sz w:val="21"/>
                <w:szCs w:val="21"/>
                <w:lang w:val="zh-CN" w:eastAsia="zh-CN" w:bidi="ar-SA"/>
              </w:rPr>
              <w:t>月，</w:t>
            </w:r>
            <w:r>
              <w:rPr>
                <w:rFonts w:hint="default" w:ascii="Times New Roman" w:hAnsi="Times New Roman" w:eastAsia="方正仿宋_GBK" w:cs="Times New Roman"/>
                <w:b/>
                <w:bCs/>
                <w:color w:val="auto"/>
                <w:kern w:val="2"/>
                <w:sz w:val="21"/>
                <w:szCs w:val="21"/>
                <w:lang w:val="en-US" w:eastAsia="zh-CN" w:bidi="ar-SA"/>
              </w:rPr>
              <w:t>共4.0年</w:t>
            </w:r>
            <w:r>
              <w:rPr>
                <w:rFonts w:hint="default" w:ascii="Times New Roman" w:hAnsi="Times New Roman" w:eastAsia="方正仿宋_GBK" w:cs="Times New Roman"/>
                <w:b/>
                <w:bCs/>
                <w:color w:val="auto"/>
                <w:kern w:val="2"/>
                <w:sz w:val="21"/>
                <w:szCs w:val="21"/>
                <w:lang w:val="zh-CN" w:eastAsia="zh-CN" w:bidi="ar-SA"/>
              </w:rPr>
              <w:t>。</w:t>
            </w:r>
          </w:p>
          <w:p w14:paraId="63CEC9F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（1）第一年：202</w:t>
            </w:r>
            <w:r>
              <w:rPr>
                <w:rFonts w:hint="default" w:ascii="Times New Roman" w:hAnsi="Times New Roman" w:eastAsia="方正仿宋_GBK" w:cs="Times New Roman"/>
                <w:color w:val="auto"/>
                <w:kern w:val="2"/>
                <w:sz w:val="21"/>
                <w:szCs w:val="21"/>
                <w:lang w:val="en-US" w:eastAsia="zh-CN" w:bidi="ar-SA"/>
              </w:rPr>
              <w:t>4</w:t>
            </w:r>
            <w:r>
              <w:rPr>
                <w:rFonts w:hint="default" w:ascii="Times New Roman" w:hAnsi="Times New Roman" w:eastAsia="方正仿宋_GBK" w:cs="Times New Roman"/>
                <w:color w:val="auto"/>
                <w:kern w:val="2"/>
                <w:sz w:val="21"/>
                <w:szCs w:val="21"/>
                <w:lang w:val="zh-CN" w:eastAsia="zh-CN" w:bidi="ar-SA"/>
              </w:rPr>
              <w:t>年</w:t>
            </w:r>
            <w:r>
              <w:rPr>
                <w:rFonts w:hint="default" w:ascii="Times New Roman" w:hAnsi="Times New Roman" w:eastAsia="方正仿宋_GBK" w:cs="Times New Roman"/>
                <w:color w:val="auto"/>
                <w:kern w:val="2"/>
                <w:sz w:val="21"/>
                <w:szCs w:val="21"/>
                <w:lang w:val="en-US" w:eastAsia="zh-CN" w:bidi="ar-SA"/>
              </w:rPr>
              <w:t>1</w:t>
            </w:r>
            <w:r>
              <w:rPr>
                <w:rFonts w:hint="default" w:ascii="Times New Roman" w:hAnsi="Times New Roman" w:eastAsia="方正仿宋_GBK" w:cs="Times New Roman"/>
                <w:color w:val="auto"/>
                <w:kern w:val="2"/>
                <w:sz w:val="21"/>
                <w:szCs w:val="21"/>
                <w:lang w:val="zh-CN" w:eastAsia="zh-CN" w:bidi="ar-SA"/>
              </w:rPr>
              <w:t>月～202</w:t>
            </w:r>
            <w:r>
              <w:rPr>
                <w:rFonts w:hint="default" w:ascii="Times New Roman" w:hAnsi="Times New Roman" w:eastAsia="方正仿宋_GBK" w:cs="Times New Roman"/>
                <w:color w:val="auto"/>
                <w:kern w:val="2"/>
                <w:sz w:val="21"/>
                <w:szCs w:val="21"/>
                <w:lang w:val="en-US" w:eastAsia="zh-CN" w:bidi="ar-SA"/>
              </w:rPr>
              <w:t>4</w:t>
            </w:r>
            <w:r>
              <w:rPr>
                <w:rFonts w:hint="default" w:ascii="Times New Roman" w:hAnsi="Times New Roman" w:eastAsia="方正仿宋_GBK" w:cs="Times New Roman"/>
                <w:color w:val="auto"/>
                <w:kern w:val="2"/>
                <w:sz w:val="21"/>
                <w:szCs w:val="21"/>
                <w:lang w:val="zh-CN" w:eastAsia="zh-CN" w:bidi="ar-SA"/>
              </w:rPr>
              <w:t>年</w:t>
            </w:r>
            <w:r>
              <w:rPr>
                <w:rFonts w:hint="default" w:ascii="Times New Roman" w:hAnsi="Times New Roman" w:eastAsia="方正仿宋_GBK" w:cs="Times New Roman"/>
                <w:color w:val="auto"/>
                <w:kern w:val="2"/>
                <w:sz w:val="21"/>
                <w:szCs w:val="21"/>
                <w:lang w:val="en-US" w:eastAsia="zh-CN" w:bidi="ar-SA"/>
              </w:rPr>
              <w:t>12</w:t>
            </w:r>
            <w:r>
              <w:rPr>
                <w:rFonts w:hint="default" w:ascii="Times New Roman" w:hAnsi="Times New Roman" w:eastAsia="方正仿宋_GBK" w:cs="Times New Roman"/>
                <w:color w:val="auto"/>
                <w:kern w:val="2"/>
                <w:sz w:val="21"/>
                <w:szCs w:val="21"/>
                <w:lang w:val="zh-CN" w:eastAsia="zh-CN" w:bidi="ar-SA"/>
              </w:rPr>
              <w:t>月；</w:t>
            </w:r>
          </w:p>
          <w:p w14:paraId="5771987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资金安排：</w:t>
            </w:r>
            <w:r>
              <w:rPr>
                <w:rFonts w:hint="default" w:ascii="Times New Roman" w:hAnsi="Times New Roman" w:eastAsia="方正仿宋_GBK" w:cs="Times New Roman"/>
                <w:color w:val="auto"/>
                <w:kern w:val="2"/>
                <w:sz w:val="21"/>
                <w:szCs w:val="21"/>
                <w:lang w:val="en-US" w:eastAsia="zh-CN" w:bidi="ar-SA"/>
              </w:rPr>
              <w:t>为项目准备、施工及复垦阶段，现阶段主要为机械、人工、材料进场施工、复垦阶段，</w:t>
            </w:r>
            <w:r>
              <w:rPr>
                <w:rFonts w:hint="default" w:ascii="Times New Roman" w:hAnsi="Times New Roman" w:eastAsia="方正仿宋_GBK" w:cs="Times New Roman"/>
                <w:color w:val="auto"/>
                <w:kern w:val="2"/>
                <w:sz w:val="21"/>
                <w:szCs w:val="21"/>
                <w:lang w:val="zh-CN" w:eastAsia="zh-CN" w:bidi="ar-SA"/>
              </w:rPr>
              <w:t>本年度静态投资</w:t>
            </w:r>
            <w:r>
              <w:rPr>
                <w:rFonts w:hint="default" w:ascii="Times New Roman" w:hAnsi="Times New Roman" w:eastAsia="方正仿宋_GBK" w:cs="Times New Roman"/>
                <w:color w:val="auto"/>
                <w:kern w:val="2"/>
                <w:sz w:val="21"/>
                <w:szCs w:val="21"/>
                <w:lang w:val="en-US" w:eastAsia="zh-CN" w:bidi="ar-SA"/>
              </w:rPr>
              <w:t>119.08</w:t>
            </w:r>
            <w:r>
              <w:rPr>
                <w:rFonts w:hint="default" w:ascii="Times New Roman" w:hAnsi="Times New Roman" w:eastAsia="方正仿宋_GBK" w:cs="Times New Roman"/>
                <w:color w:val="auto"/>
                <w:kern w:val="2"/>
                <w:sz w:val="21"/>
                <w:szCs w:val="21"/>
                <w:lang w:val="zh-CN" w:eastAsia="zh-CN" w:bidi="ar-SA"/>
              </w:rPr>
              <w:t>万元，动态投资</w:t>
            </w:r>
            <w:r>
              <w:rPr>
                <w:rFonts w:hint="default" w:ascii="Times New Roman" w:hAnsi="Times New Roman" w:eastAsia="方正仿宋_GBK" w:cs="Times New Roman"/>
                <w:color w:val="auto"/>
                <w:kern w:val="2"/>
                <w:sz w:val="21"/>
                <w:szCs w:val="21"/>
                <w:lang w:val="en-US" w:eastAsia="zh-CN" w:bidi="ar-SA"/>
              </w:rPr>
              <w:t>119.08</w:t>
            </w:r>
            <w:r>
              <w:rPr>
                <w:rFonts w:hint="default" w:ascii="Times New Roman" w:hAnsi="Times New Roman" w:eastAsia="方正仿宋_GBK" w:cs="Times New Roman"/>
                <w:color w:val="auto"/>
                <w:kern w:val="2"/>
                <w:sz w:val="21"/>
                <w:szCs w:val="21"/>
                <w:lang w:val="zh-CN" w:eastAsia="zh-CN" w:bidi="ar-SA"/>
              </w:rPr>
              <w:t>万元；</w:t>
            </w:r>
          </w:p>
          <w:p w14:paraId="377A023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en-US" w:eastAsia="zh-CN" w:bidi="ar-SA"/>
              </w:rPr>
              <w:t>工作内容：本</w:t>
            </w:r>
            <w:r>
              <w:rPr>
                <w:rFonts w:hint="default" w:ascii="Times New Roman" w:hAnsi="Times New Roman" w:eastAsia="方正仿宋_GBK" w:cs="Times New Roman"/>
                <w:color w:val="auto"/>
                <w:kern w:val="2"/>
                <w:sz w:val="21"/>
                <w:szCs w:val="21"/>
                <w:lang w:val="zh-CN" w:eastAsia="zh-CN" w:bidi="ar-SA"/>
              </w:rPr>
              <w:t>年度</w:t>
            </w:r>
            <w:r>
              <w:rPr>
                <w:rFonts w:hint="default" w:ascii="Times New Roman" w:hAnsi="Times New Roman" w:eastAsia="方正仿宋_GBK" w:cs="Times New Roman"/>
                <w:color w:val="auto"/>
                <w:kern w:val="2"/>
                <w:sz w:val="21"/>
                <w:szCs w:val="21"/>
                <w:lang w:val="en-US" w:eastAsia="zh-CN" w:bidi="ar-SA"/>
              </w:rPr>
              <w:t>为临时用地的建设期及复垦期，建设阶段先对拟损毁区域进行表土剥离表土进行管护及土地损毁情况监测，其次做好主体工程各项防护措施，防止造成新的损毁土地；施工结束后对损毁区域进行复垦工程安排</w:t>
            </w:r>
            <w:r>
              <w:rPr>
                <w:rFonts w:hint="default" w:ascii="Times New Roman" w:hAnsi="Times New Roman" w:eastAsia="方正仿宋_GBK" w:cs="Times New Roman"/>
                <w:color w:val="auto"/>
                <w:kern w:val="2"/>
                <w:sz w:val="21"/>
                <w:szCs w:val="21"/>
                <w:lang w:val="zh-CN" w:eastAsia="zh-CN" w:bidi="ar-SA"/>
              </w:rPr>
              <w:t>。</w:t>
            </w:r>
          </w:p>
          <w:p w14:paraId="0378B6B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复垦对象：1#材料堆场、地下管线敷设作业及1#材料堆场；</w:t>
            </w:r>
          </w:p>
          <w:p w14:paraId="5398140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复垦目标：复垦面积5.2245hm²，其中复垦旱地面积为0.3494hm²，复垦果园面积为0.2816hm²，复垦乔木林地面积为0.7376hm²，复垦为田坎面积为0.0775hm²，复垦为农村道路面积为0.0814hm²，复垦为沟渠面积为0.0089hm²。</w:t>
            </w:r>
          </w:p>
          <w:p w14:paraId="7034163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复垦措施：施工阶段对损毁单元进行表土剥离工程，其中表土剥离25390.10m³，施工结束后对复垦区场地进行全面复垦规划，主要措施有翻耕、覆土、平整、施有机肥，植被重建恢复，主要措施为种植乔木及撒播草籽；配套工程主要为灌排水工程和道路。对已复垦区域进行全面监测。</w:t>
            </w:r>
          </w:p>
          <w:p w14:paraId="023833F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工程量：表土剥离25390.10m³，表土调运、覆盖18394.74m³，翻耕0.6310公顷，平整1892.85m³，田坎修筑202.42m³，施机肥15.1700公顷（连续施肥3年），种植乔木1899株，种植灌木1899株，种植果树322株，撒播草籽4.3934 公顷，修复道路（泥结石路面）218.1m，修复道路（水泥路面）40.7m，修复沟渠49.0m；对复垦区域进行监测及管护。</w:t>
            </w:r>
          </w:p>
          <w:p w14:paraId="5FE81E97">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复垦资金：本年度静态投资</w:t>
            </w:r>
            <w:r>
              <w:rPr>
                <w:rFonts w:hint="default" w:ascii="Times New Roman" w:hAnsi="Times New Roman" w:eastAsia="方正仿宋_GBK" w:cs="Times New Roman"/>
                <w:color w:val="auto"/>
                <w:kern w:val="2"/>
                <w:sz w:val="21"/>
                <w:szCs w:val="21"/>
                <w:lang w:val="en-US" w:eastAsia="zh-CN" w:bidi="ar-SA"/>
              </w:rPr>
              <w:t>119.08</w:t>
            </w:r>
            <w:r>
              <w:rPr>
                <w:rFonts w:hint="default" w:ascii="Times New Roman" w:hAnsi="Times New Roman" w:eastAsia="方正仿宋_GBK" w:cs="Times New Roman"/>
                <w:color w:val="auto"/>
                <w:kern w:val="2"/>
                <w:sz w:val="21"/>
                <w:szCs w:val="21"/>
                <w:lang w:val="zh-CN" w:eastAsia="zh-CN" w:bidi="ar-SA"/>
              </w:rPr>
              <w:t>万元，动态投资</w:t>
            </w:r>
            <w:r>
              <w:rPr>
                <w:rFonts w:hint="default" w:ascii="Times New Roman" w:hAnsi="Times New Roman" w:eastAsia="方正仿宋_GBK" w:cs="Times New Roman"/>
                <w:color w:val="auto"/>
                <w:kern w:val="2"/>
                <w:sz w:val="21"/>
                <w:szCs w:val="21"/>
                <w:lang w:val="en-US" w:eastAsia="zh-CN" w:bidi="ar-SA"/>
              </w:rPr>
              <w:t>119.08</w:t>
            </w:r>
            <w:r>
              <w:rPr>
                <w:rFonts w:hint="default" w:ascii="Times New Roman" w:hAnsi="Times New Roman" w:eastAsia="方正仿宋_GBK" w:cs="Times New Roman"/>
                <w:color w:val="auto"/>
                <w:kern w:val="2"/>
                <w:sz w:val="21"/>
                <w:szCs w:val="21"/>
                <w:lang w:val="zh-CN" w:eastAsia="zh-CN" w:bidi="ar-SA"/>
              </w:rPr>
              <w:t>万元；</w:t>
            </w:r>
          </w:p>
          <w:p w14:paraId="6FB9E20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w:t>
            </w:r>
            <w:r>
              <w:rPr>
                <w:rFonts w:hint="default" w:ascii="Times New Roman" w:hAnsi="Times New Roman" w:eastAsia="方正仿宋_GBK" w:cs="Times New Roman"/>
                <w:color w:val="auto"/>
                <w:kern w:val="2"/>
                <w:sz w:val="21"/>
                <w:szCs w:val="21"/>
                <w:lang w:val="en-US" w:eastAsia="zh-CN" w:bidi="ar-SA"/>
              </w:rPr>
              <w:t>2</w:t>
            </w:r>
            <w:r>
              <w:rPr>
                <w:rFonts w:hint="default" w:ascii="Times New Roman" w:hAnsi="Times New Roman" w:eastAsia="方正仿宋_GBK" w:cs="Times New Roman"/>
                <w:color w:val="auto"/>
                <w:kern w:val="2"/>
                <w:sz w:val="21"/>
                <w:szCs w:val="21"/>
                <w:lang w:val="zh-CN" w:eastAsia="zh-CN" w:bidi="ar-SA"/>
              </w:rPr>
              <w:t>）第</w:t>
            </w:r>
            <w:r>
              <w:rPr>
                <w:rFonts w:hint="default" w:ascii="Times New Roman" w:hAnsi="Times New Roman" w:eastAsia="方正仿宋_GBK" w:cs="Times New Roman"/>
                <w:color w:val="auto"/>
                <w:kern w:val="2"/>
                <w:sz w:val="21"/>
                <w:szCs w:val="21"/>
                <w:lang w:val="en-US" w:eastAsia="zh-CN" w:bidi="ar-SA"/>
              </w:rPr>
              <w:t>二</w:t>
            </w:r>
            <w:r>
              <w:rPr>
                <w:rFonts w:hint="default" w:ascii="Times New Roman" w:hAnsi="Times New Roman" w:eastAsia="方正仿宋_GBK" w:cs="Times New Roman"/>
                <w:color w:val="auto"/>
                <w:kern w:val="2"/>
                <w:sz w:val="21"/>
                <w:szCs w:val="21"/>
                <w:lang w:val="zh-CN" w:eastAsia="zh-CN" w:bidi="ar-SA"/>
              </w:rPr>
              <w:t>年：202</w:t>
            </w:r>
            <w:r>
              <w:rPr>
                <w:rFonts w:hint="default" w:ascii="Times New Roman" w:hAnsi="Times New Roman" w:eastAsia="方正仿宋_GBK" w:cs="Times New Roman"/>
                <w:color w:val="auto"/>
                <w:kern w:val="2"/>
                <w:sz w:val="21"/>
                <w:szCs w:val="21"/>
                <w:lang w:val="en-US" w:eastAsia="zh-CN" w:bidi="ar-SA"/>
              </w:rPr>
              <w:t>5</w:t>
            </w:r>
            <w:r>
              <w:rPr>
                <w:rFonts w:hint="default" w:ascii="Times New Roman" w:hAnsi="Times New Roman" w:eastAsia="方正仿宋_GBK" w:cs="Times New Roman"/>
                <w:color w:val="auto"/>
                <w:kern w:val="2"/>
                <w:sz w:val="21"/>
                <w:szCs w:val="21"/>
                <w:lang w:val="zh-CN" w:eastAsia="zh-CN" w:bidi="ar-SA"/>
              </w:rPr>
              <w:t>年1月～202</w:t>
            </w:r>
            <w:r>
              <w:rPr>
                <w:rFonts w:hint="default" w:ascii="Times New Roman" w:hAnsi="Times New Roman" w:eastAsia="方正仿宋_GBK" w:cs="Times New Roman"/>
                <w:color w:val="auto"/>
                <w:kern w:val="2"/>
                <w:sz w:val="21"/>
                <w:szCs w:val="21"/>
                <w:lang w:val="en-US" w:eastAsia="zh-CN" w:bidi="ar-SA"/>
              </w:rPr>
              <w:t>5</w:t>
            </w:r>
            <w:r>
              <w:rPr>
                <w:rFonts w:hint="default" w:ascii="Times New Roman" w:hAnsi="Times New Roman" w:eastAsia="方正仿宋_GBK" w:cs="Times New Roman"/>
                <w:color w:val="auto"/>
                <w:kern w:val="2"/>
                <w:sz w:val="21"/>
                <w:szCs w:val="21"/>
                <w:lang w:val="zh-CN" w:eastAsia="zh-CN" w:bidi="ar-SA"/>
              </w:rPr>
              <w:t>年12月；</w:t>
            </w:r>
          </w:p>
          <w:p w14:paraId="5DBF4C0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资金安排：本年度静态投资</w:t>
            </w:r>
            <w:r>
              <w:rPr>
                <w:rFonts w:hint="default" w:ascii="Times New Roman" w:hAnsi="Times New Roman" w:eastAsia="方正仿宋_GBK" w:cs="Times New Roman"/>
                <w:color w:val="auto"/>
                <w:kern w:val="2"/>
                <w:sz w:val="21"/>
                <w:szCs w:val="21"/>
                <w:lang w:val="en-US" w:eastAsia="zh-CN" w:bidi="ar-SA"/>
              </w:rPr>
              <w:t>11.92</w:t>
            </w:r>
            <w:r>
              <w:rPr>
                <w:rFonts w:hint="default" w:ascii="Times New Roman" w:hAnsi="Times New Roman" w:eastAsia="方正仿宋_GBK" w:cs="Times New Roman"/>
                <w:color w:val="auto"/>
                <w:kern w:val="2"/>
                <w:sz w:val="21"/>
                <w:szCs w:val="21"/>
                <w:lang w:val="zh-CN" w:eastAsia="zh-CN" w:bidi="ar-SA"/>
              </w:rPr>
              <w:t>万元，动态投资</w:t>
            </w:r>
            <w:r>
              <w:rPr>
                <w:rFonts w:hint="default" w:ascii="Times New Roman" w:hAnsi="Times New Roman" w:eastAsia="方正仿宋_GBK" w:cs="Times New Roman"/>
                <w:color w:val="auto"/>
                <w:kern w:val="2"/>
                <w:sz w:val="21"/>
                <w:szCs w:val="21"/>
                <w:lang w:val="en-US" w:eastAsia="zh-CN" w:bidi="ar-SA"/>
              </w:rPr>
              <w:t>12.75</w:t>
            </w:r>
            <w:r>
              <w:rPr>
                <w:rFonts w:hint="default" w:ascii="Times New Roman" w:hAnsi="Times New Roman" w:eastAsia="方正仿宋_GBK" w:cs="Times New Roman"/>
                <w:color w:val="auto"/>
                <w:kern w:val="2"/>
                <w:sz w:val="21"/>
                <w:szCs w:val="21"/>
                <w:lang w:val="zh-CN" w:eastAsia="zh-CN" w:bidi="ar-SA"/>
              </w:rPr>
              <w:t>万元；</w:t>
            </w:r>
          </w:p>
          <w:p w14:paraId="5EBCBE0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en-US" w:eastAsia="zh-CN" w:bidi="ar-SA"/>
              </w:rPr>
              <w:t>工作内容：本</w:t>
            </w:r>
            <w:r>
              <w:rPr>
                <w:rFonts w:hint="default" w:ascii="Times New Roman" w:hAnsi="Times New Roman" w:eastAsia="方正仿宋_GBK" w:cs="Times New Roman"/>
                <w:color w:val="auto"/>
                <w:kern w:val="2"/>
                <w:sz w:val="21"/>
                <w:szCs w:val="21"/>
                <w:lang w:val="zh-CN" w:eastAsia="zh-CN" w:bidi="ar-SA"/>
              </w:rPr>
              <w:t>年度</w:t>
            </w:r>
            <w:r>
              <w:rPr>
                <w:rFonts w:hint="default" w:ascii="Times New Roman" w:hAnsi="Times New Roman" w:eastAsia="方正仿宋_GBK" w:cs="Times New Roman"/>
                <w:color w:val="auto"/>
                <w:kern w:val="2"/>
                <w:sz w:val="21"/>
                <w:szCs w:val="21"/>
                <w:lang w:val="en-US" w:eastAsia="zh-CN" w:bidi="ar-SA"/>
              </w:rPr>
              <w:t>为全面复垦后的监测期及管护期，对复垦区域进行定时监测及管护，施有机肥0.6310公顷、绿肥0.3494公顷；管护林地0.7376公顷；管护果园0.2816公顷。</w:t>
            </w:r>
          </w:p>
          <w:p w14:paraId="26EE26D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w:t>
            </w:r>
            <w:r>
              <w:rPr>
                <w:rFonts w:hint="default" w:ascii="Times New Roman" w:hAnsi="Times New Roman" w:eastAsia="方正仿宋_GBK" w:cs="Times New Roman"/>
                <w:color w:val="auto"/>
                <w:kern w:val="2"/>
                <w:sz w:val="21"/>
                <w:szCs w:val="21"/>
                <w:lang w:val="en-US" w:eastAsia="zh-CN" w:bidi="ar-SA"/>
              </w:rPr>
              <w:t>3</w:t>
            </w:r>
            <w:r>
              <w:rPr>
                <w:rFonts w:hint="default" w:ascii="Times New Roman" w:hAnsi="Times New Roman" w:eastAsia="方正仿宋_GBK" w:cs="Times New Roman"/>
                <w:color w:val="auto"/>
                <w:kern w:val="2"/>
                <w:sz w:val="21"/>
                <w:szCs w:val="21"/>
                <w:lang w:val="zh-CN" w:eastAsia="zh-CN" w:bidi="ar-SA"/>
              </w:rPr>
              <w:t>）第</w:t>
            </w:r>
            <w:r>
              <w:rPr>
                <w:rFonts w:hint="default" w:ascii="Times New Roman" w:hAnsi="Times New Roman" w:eastAsia="方正仿宋_GBK" w:cs="Times New Roman"/>
                <w:color w:val="auto"/>
                <w:kern w:val="2"/>
                <w:sz w:val="21"/>
                <w:szCs w:val="21"/>
                <w:lang w:val="en-US" w:eastAsia="zh-CN" w:bidi="ar-SA"/>
              </w:rPr>
              <w:t>三</w:t>
            </w:r>
            <w:r>
              <w:rPr>
                <w:rFonts w:hint="default" w:ascii="Times New Roman" w:hAnsi="Times New Roman" w:eastAsia="方正仿宋_GBK" w:cs="Times New Roman"/>
                <w:color w:val="auto"/>
                <w:kern w:val="2"/>
                <w:sz w:val="21"/>
                <w:szCs w:val="21"/>
                <w:lang w:val="zh-CN" w:eastAsia="zh-CN" w:bidi="ar-SA"/>
              </w:rPr>
              <w:t>年：20</w:t>
            </w:r>
            <w:r>
              <w:rPr>
                <w:rFonts w:hint="default" w:ascii="Times New Roman" w:hAnsi="Times New Roman" w:eastAsia="方正仿宋_GBK" w:cs="Times New Roman"/>
                <w:color w:val="auto"/>
                <w:kern w:val="2"/>
                <w:sz w:val="21"/>
                <w:szCs w:val="21"/>
                <w:lang w:val="en-US" w:eastAsia="zh-CN" w:bidi="ar-SA"/>
              </w:rPr>
              <w:t>26</w:t>
            </w:r>
            <w:r>
              <w:rPr>
                <w:rFonts w:hint="default" w:ascii="Times New Roman" w:hAnsi="Times New Roman" w:eastAsia="方正仿宋_GBK" w:cs="Times New Roman"/>
                <w:color w:val="auto"/>
                <w:kern w:val="2"/>
                <w:sz w:val="21"/>
                <w:szCs w:val="21"/>
                <w:lang w:val="zh-CN" w:eastAsia="zh-CN" w:bidi="ar-SA"/>
              </w:rPr>
              <w:t>年1月～202</w:t>
            </w:r>
            <w:r>
              <w:rPr>
                <w:rFonts w:hint="default" w:ascii="Times New Roman" w:hAnsi="Times New Roman" w:eastAsia="方正仿宋_GBK" w:cs="Times New Roman"/>
                <w:color w:val="auto"/>
                <w:kern w:val="2"/>
                <w:sz w:val="21"/>
                <w:szCs w:val="21"/>
                <w:lang w:val="en-US" w:eastAsia="zh-CN" w:bidi="ar-SA"/>
              </w:rPr>
              <w:t>6</w:t>
            </w:r>
            <w:r>
              <w:rPr>
                <w:rFonts w:hint="default" w:ascii="Times New Roman" w:hAnsi="Times New Roman" w:eastAsia="方正仿宋_GBK" w:cs="Times New Roman"/>
                <w:color w:val="auto"/>
                <w:kern w:val="2"/>
                <w:sz w:val="21"/>
                <w:szCs w:val="21"/>
                <w:lang w:val="zh-CN" w:eastAsia="zh-CN" w:bidi="ar-SA"/>
              </w:rPr>
              <w:t>年12月；</w:t>
            </w:r>
          </w:p>
          <w:p w14:paraId="796F0B5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资金安排：本年度静态投资</w:t>
            </w:r>
            <w:r>
              <w:rPr>
                <w:rFonts w:hint="default" w:ascii="Times New Roman" w:hAnsi="Times New Roman" w:eastAsia="方正仿宋_GBK" w:cs="Times New Roman"/>
                <w:color w:val="auto"/>
                <w:kern w:val="2"/>
                <w:sz w:val="21"/>
                <w:szCs w:val="21"/>
                <w:lang w:val="en-US" w:eastAsia="zh-CN" w:bidi="ar-SA"/>
              </w:rPr>
              <w:t>11.92</w:t>
            </w:r>
            <w:r>
              <w:rPr>
                <w:rFonts w:hint="default" w:ascii="Times New Roman" w:hAnsi="Times New Roman" w:eastAsia="方正仿宋_GBK" w:cs="Times New Roman"/>
                <w:color w:val="auto"/>
                <w:kern w:val="2"/>
                <w:sz w:val="21"/>
                <w:szCs w:val="21"/>
                <w:lang w:val="zh-CN" w:eastAsia="zh-CN" w:bidi="ar-SA"/>
              </w:rPr>
              <w:t>万元，动态投资</w:t>
            </w:r>
            <w:r>
              <w:rPr>
                <w:rFonts w:hint="default" w:ascii="Times New Roman" w:hAnsi="Times New Roman" w:eastAsia="方正仿宋_GBK" w:cs="Times New Roman"/>
                <w:color w:val="auto"/>
                <w:kern w:val="2"/>
                <w:sz w:val="21"/>
                <w:szCs w:val="21"/>
                <w:lang w:val="en-US" w:eastAsia="zh-CN" w:bidi="ar-SA"/>
              </w:rPr>
              <w:t>13.64</w:t>
            </w:r>
            <w:r>
              <w:rPr>
                <w:rFonts w:hint="default" w:ascii="Times New Roman" w:hAnsi="Times New Roman" w:eastAsia="方正仿宋_GBK" w:cs="Times New Roman"/>
                <w:color w:val="auto"/>
                <w:kern w:val="2"/>
                <w:sz w:val="21"/>
                <w:szCs w:val="21"/>
                <w:lang w:val="zh-CN" w:eastAsia="zh-CN" w:bidi="ar-SA"/>
              </w:rPr>
              <w:t>万元；</w:t>
            </w:r>
          </w:p>
          <w:p w14:paraId="78768C1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en-US" w:eastAsia="zh-CN" w:bidi="ar-SA"/>
              </w:rPr>
              <w:t>工作内容：本</w:t>
            </w:r>
            <w:r>
              <w:rPr>
                <w:rFonts w:hint="default" w:ascii="Times New Roman" w:hAnsi="Times New Roman" w:eastAsia="方正仿宋_GBK" w:cs="Times New Roman"/>
                <w:color w:val="auto"/>
                <w:kern w:val="2"/>
                <w:sz w:val="21"/>
                <w:szCs w:val="21"/>
                <w:lang w:val="zh-CN" w:eastAsia="zh-CN" w:bidi="ar-SA"/>
              </w:rPr>
              <w:t>年度</w:t>
            </w:r>
            <w:r>
              <w:rPr>
                <w:rFonts w:hint="default" w:ascii="Times New Roman" w:hAnsi="Times New Roman" w:eastAsia="方正仿宋_GBK" w:cs="Times New Roman"/>
                <w:color w:val="auto"/>
                <w:kern w:val="2"/>
                <w:sz w:val="21"/>
                <w:szCs w:val="21"/>
                <w:lang w:val="en-US" w:eastAsia="zh-CN" w:bidi="ar-SA"/>
              </w:rPr>
              <w:t>为全面复垦后的监测期及管护期，对复垦区域进行定时监测及管护，施有机肥0.6310公顷、绿肥0.3494公顷；管护林地0.7376公顷；管护果园0.2816公顷。</w:t>
            </w:r>
          </w:p>
          <w:p w14:paraId="533AD88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w:t>
            </w:r>
            <w:r>
              <w:rPr>
                <w:rFonts w:hint="default" w:ascii="Times New Roman" w:hAnsi="Times New Roman" w:eastAsia="方正仿宋_GBK" w:cs="Times New Roman"/>
                <w:color w:val="auto"/>
                <w:kern w:val="2"/>
                <w:sz w:val="21"/>
                <w:szCs w:val="21"/>
                <w:lang w:val="en-US" w:eastAsia="zh-CN" w:bidi="ar-SA"/>
              </w:rPr>
              <w:t>4</w:t>
            </w:r>
            <w:r>
              <w:rPr>
                <w:rFonts w:hint="default" w:ascii="Times New Roman" w:hAnsi="Times New Roman" w:eastAsia="方正仿宋_GBK" w:cs="Times New Roman"/>
                <w:color w:val="auto"/>
                <w:kern w:val="2"/>
                <w:sz w:val="21"/>
                <w:szCs w:val="21"/>
                <w:lang w:val="zh-CN" w:eastAsia="zh-CN" w:bidi="ar-SA"/>
              </w:rPr>
              <w:t>）第</w:t>
            </w:r>
            <w:r>
              <w:rPr>
                <w:rFonts w:hint="default" w:ascii="Times New Roman" w:hAnsi="Times New Roman" w:eastAsia="方正仿宋_GBK" w:cs="Times New Roman"/>
                <w:color w:val="auto"/>
                <w:kern w:val="2"/>
                <w:sz w:val="21"/>
                <w:szCs w:val="21"/>
                <w:lang w:val="en-US" w:eastAsia="zh-CN" w:bidi="ar-SA"/>
              </w:rPr>
              <w:t>四</w:t>
            </w:r>
            <w:r>
              <w:rPr>
                <w:rFonts w:hint="default" w:ascii="Times New Roman" w:hAnsi="Times New Roman" w:eastAsia="方正仿宋_GBK" w:cs="Times New Roman"/>
                <w:color w:val="auto"/>
                <w:kern w:val="2"/>
                <w:sz w:val="21"/>
                <w:szCs w:val="21"/>
                <w:lang w:val="zh-CN" w:eastAsia="zh-CN" w:bidi="ar-SA"/>
              </w:rPr>
              <w:t>年：202</w:t>
            </w:r>
            <w:r>
              <w:rPr>
                <w:rFonts w:hint="default" w:ascii="Times New Roman" w:hAnsi="Times New Roman" w:eastAsia="方正仿宋_GBK" w:cs="Times New Roman"/>
                <w:color w:val="auto"/>
                <w:kern w:val="2"/>
                <w:sz w:val="21"/>
                <w:szCs w:val="21"/>
                <w:lang w:val="en-US" w:eastAsia="zh-CN" w:bidi="ar-SA"/>
              </w:rPr>
              <w:t>7</w:t>
            </w:r>
            <w:r>
              <w:rPr>
                <w:rFonts w:hint="default" w:ascii="Times New Roman" w:hAnsi="Times New Roman" w:eastAsia="方正仿宋_GBK" w:cs="Times New Roman"/>
                <w:color w:val="auto"/>
                <w:kern w:val="2"/>
                <w:sz w:val="21"/>
                <w:szCs w:val="21"/>
                <w:lang w:val="zh-CN" w:eastAsia="zh-CN" w:bidi="ar-SA"/>
              </w:rPr>
              <w:t>年1月～202</w:t>
            </w:r>
            <w:r>
              <w:rPr>
                <w:rFonts w:hint="default" w:ascii="Times New Roman" w:hAnsi="Times New Roman" w:eastAsia="方正仿宋_GBK" w:cs="Times New Roman"/>
                <w:color w:val="auto"/>
                <w:kern w:val="2"/>
                <w:sz w:val="21"/>
                <w:szCs w:val="21"/>
                <w:lang w:val="en-US" w:eastAsia="zh-CN" w:bidi="ar-SA"/>
              </w:rPr>
              <w:t>7</w:t>
            </w:r>
            <w:r>
              <w:rPr>
                <w:rFonts w:hint="default" w:ascii="Times New Roman" w:hAnsi="Times New Roman" w:eastAsia="方正仿宋_GBK" w:cs="Times New Roman"/>
                <w:color w:val="auto"/>
                <w:kern w:val="2"/>
                <w:sz w:val="21"/>
                <w:szCs w:val="21"/>
                <w:lang w:val="zh-CN" w:eastAsia="zh-CN" w:bidi="ar-SA"/>
              </w:rPr>
              <w:t>年12月；</w:t>
            </w:r>
          </w:p>
          <w:p w14:paraId="303AA2A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资金安排：本年度静态投资</w:t>
            </w:r>
            <w:r>
              <w:rPr>
                <w:rFonts w:hint="default" w:ascii="Times New Roman" w:hAnsi="Times New Roman" w:eastAsia="方正仿宋_GBK" w:cs="Times New Roman"/>
                <w:color w:val="auto"/>
                <w:kern w:val="2"/>
                <w:sz w:val="21"/>
                <w:szCs w:val="21"/>
                <w:lang w:val="en-US" w:eastAsia="zh-CN" w:bidi="ar-SA"/>
              </w:rPr>
              <w:t>11.92</w:t>
            </w:r>
            <w:r>
              <w:rPr>
                <w:rFonts w:hint="default" w:ascii="Times New Roman" w:hAnsi="Times New Roman" w:eastAsia="方正仿宋_GBK" w:cs="Times New Roman"/>
                <w:color w:val="auto"/>
                <w:kern w:val="2"/>
                <w:sz w:val="21"/>
                <w:szCs w:val="21"/>
                <w:lang w:val="en-US" w:eastAsia="zh-CN" w:bidi="ar-SA"/>
              </w:rPr>
              <w:tab/>
            </w:r>
            <w:r>
              <w:rPr>
                <w:rFonts w:hint="default" w:ascii="Times New Roman" w:hAnsi="Times New Roman" w:eastAsia="方正仿宋_GBK" w:cs="Times New Roman"/>
                <w:color w:val="auto"/>
                <w:kern w:val="2"/>
                <w:sz w:val="21"/>
                <w:szCs w:val="21"/>
                <w:lang w:val="zh-CN" w:eastAsia="zh-CN" w:bidi="ar-SA"/>
              </w:rPr>
              <w:t>万元，动态投资</w:t>
            </w:r>
            <w:r>
              <w:rPr>
                <w:rFonts w:hint="default" w:ascii="Times New Roman" w:hAnsi="Times New Roman" w:eastAsia="方正仿宋_GBK" w:cs="Times New Roman"/>
                <w:color w:val="auto"/>
                <w:kern w:val="2"/>
                <w:sz w:val="21"/>
                <w:szCs w:val="21"/>
                <w:lang w:val="en-US" w:eastAsia="zh-CN" w:bidi="ar-SA"/>
              </w:rPr>
              <w:t>14.60</w:t>
            </w:r>
            <w:r>
              <w:rPr>
                <w:rFonts w:hint="default" w:ascii="Times New Roman" w:hAnsi="Times New Roman" w:eastAsia="方正仿宋_GBK" w:cs="Times New Roman"/>
                <w:color w:val="auto"/>
                <w:kern w:val="2"/>
                <w:sz w:val="21"/>
                <w:szCs w:val="21"/>
                <w:lang w:val="zh-CN" w:eastAsia="zh-CN" w:bidi="ar-SA"/>
              </w:rPr>
              <w:t>万元；</w:t>
            </w:r>
          </w:p>
          <w:p w14:paraId="4B54C2F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en-US" w:eastAsia="zh-CN" w:bidi="ar-SA"/>
              </w:rPr>
              <w:t>工作内容：本</w:t>
            </w:r>
            <w:r>
              <w:rPr>
                <w:rFonts w:hint="default" w:ascii="Times New Roman" w:hAnsi="Times New Roman" w:eastAsia="方正仿宋_GBK" w:cs="Times New Roman"/>
                <w:color w:val="auto"/>
                <w:kern w:val="2"/>
                <w:sz w:val="21"/>
                <w:szCs w:val="21"/>
                <w:lang w:val="zh-CN" w:eastAsia="zh-CN" w:bidi="ar-SA"/>
              </w:rPr>
              <w:t>年度</w:t>
            </w:r>
            <w:r>
              <w:rPr>
                <w:rFonts w:hint="default" w:ascii="Times New Roman" w:hAnsi="Times New Roman" w:eastAsia="方正仿宋_GBK" w:cs="Times New Roman"/>
                <w:color w:val="auto"/>
                <w:kern w:val="2"/>
                <w:sz w:val="21"/>
                <w:szCs w:val="21"/>
                <w:lang w:val="en-US" w:eastAsia="zh-CN" w:bidi="ar-SA"/>
              </w:rPr>
              <w:t>为全面复垦后的监测期及管护期，对复垦区域进行定时监测及管护，施有机肥0.6310公顷、绿肥0.3494公顷；管护林地0.7376公顷；管护果园0.2816公顷。</w:t>
            </w:r>
          </w:p>
          <w:p w14:paraId="1E8B969E">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FF0000"/>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复垦各年度具体工作计划安排见表</w:t>
            </w:r>
            <w:r>
              <w:rPr>
                <w:rFonts w:hint="default" w:ascii="Times New Roman" w:hAnsi="Times New Roman" w:eastAsia="方正仿宋_GBK" w:cs="Times New Roman"/>
                <w:color w:val="auto"/>
                <w:kern w:val="2"/>
                <w:sz w:val="21"/>
                <w:szCs w:val="21"/>
                <w:lang w:val="en-US" w:eastAsia="zh-CN" w:bidi="ar-SA"/>
              </w:rPr>
              <w:t>9</w:t>
            </w:r>
            <w:r>
              <w:rPr>
                <w:rFonts w:hint="default" w:ascii="Times New Roman" w:hAnsi="Times New Roman" w:eastAsia="方正仿宋_GBK" w:cs="Times New Roman"/>
                <w:color w:val="auto"/>
                <w:kern w:val="2"/>
                <w:sz w:val="21"/>
                <w:szCs w:val="21"/>
                <w:lang w:val="zh-CN" w:eastAsia="zh-CN" w:bidi="ar-SA"/>
              </w:rPr>
              <w:t>-1。</w:t>
            </w:r>
          </w:p>
          <w:p w14:paraId="73A7D2FE">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2、复垦工程</w:t>
            </w:r>
          </w:p>
          <w:p w14:paraId="7C2C4182">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根据经济合理的原则和自然地理条件、土地损毁状态采取相应的土地复垦标准，土地复垦用途的优先顺序为耕地、林地、园地、牧草地，要求符合《土地复垦质量控制标准》（TD/T1036-2013）。根据云南成品油管道昆明支线改线工程临时用地的施工工艺、土地损毁时序，依据复垦土地最终确定的复垦方向，结合项目水土资源平衡分析等，该项目复垦工程措施主要有土壤重构工程、配套工程及监测与管护工程：</w:t>
            </w:r>
          </w:p>
          <w:p w14:paraId="1B8AACF8">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a）土壤重构工程</w:t>
            </w:r>
          </w:p>
          <w:p w14:paraId="6DC942AB">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（1）表土剥离：在施工前期对各复垦单元清理杂草、碎石之后进行表土剥离。</w:t>
            </w:r>
          </w:p>
          <w:p w14:paraId="3577CFA3">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（2）翻耕：长时间的压占损毁，导致土壤板结、影响土壤水分、养分、空气的上下运行，为了保证后期耕地质量的恢复提高对复垦为耕地的区域进行翻耕。</w:t>
            </w:r>
          </w:p>
          <w:p w14:paraId="68809250">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3）土地平整：土地平整是改变损毁土地地表形状、理性的主要的工程措施之一。在土地平整过程中通过人机配合，实施土地平整，满足土地复垦的初步立地条件。本方案设计对拟复垦为耕地、果园的区域进行场地平整。平整厚度按30cm计算。</w:t>
            </w:r>
          </w:p>
          <w:p w14:paraId="53C120CE">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（5）覆土及调运：对各单元进行覆土，便于复垦。</w:t>
            </w:r>
          </w:p>
          <w:p w14:paraId="1A168C73">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（6）土壤培肥：对复垦为耕地各复垦单元进行土壤培肥，以提高土壤肥力。</w:t>
            </w:r>
          </w:p>
          <w:p w14:paraId="42D08E96">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b）植被重建工程</w:t>
            </w:r>
          </w:p>
          <w:p w14:paraId="7A25432C">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根据</w:t>
            </w:r>
            <w:r>
              <w:rPr>
                <w:rFonts w:hint="default" w:ascii="Times New Roman" w:hAnsi="Times New Roman" w:eastAsia="方正仿宋_GBK" w:cs="Times New Roman"/>
                <w:b w:val="0"/>
                <w:bCs w:val="0"/>
                <w:kern w:val="2"/>
                <w:sz w:val="21"/>
                <w:szCs w:val="21"/>
                <w:lang w:val="en-US" w:eastAsia="zh-CN" w:bidi="ar-SA"/>
              </w:rPr>
              <w:t>《中华人民共和国石油天然气管道保护法》规定</w:t>
            </w:r>
            <w:r>
              <w:rPr>
                <w:rFonts w:hint="default" w:ascii="Times New Roman" w:hAnsi="Times New Roman" w:eastAsia="方正仿宋_GBK" w:cs="Times New Roman"/>
                <w:color w:val="auto"/>
                <w:kern w:val="2"/>
                <w:sz w:val="21"/>
                <w:szCs w:val="21"/>
                <w:lang w:val="en-US" w:eastAsia="zh-CN" w:bidi="ar-SA"/>
              </w:rPr>
              <w:t>方案设计对于复垦为林地的区域采取林草恢复工程，根据区域自然条件，自然植被生长情况，植被恢复主要选用生态特性与项目区小流域自然条件相适应、成活率高、生长较迅速、根系较发达的乡土物种，并考虑生物多样性原则。本方案树种推荐选用云南含笑、樟树等，草种推荐选用黑麦草（或狗牙根）等，进行灌草混播。</w:t>
            </w:r>
          </w:p>
          <w:p w14:paraId="4DEBEB95">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（1）园地恢复：根据适宜性评价的结果及土地权属人的意见按适地适树的原则对损毁的园地进行复垦，</w:t>
            </w:r>
          </w:p>
          <w:p w14:paraId="37BE1ED0">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（2）林地恢复：根据相关要求结合适宜性评价的结果，对损毁的部分林地进行恢复。</w:t>
            </w:r>
          </w:p>
          <w:p w14:paraId="630966A2">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b w:val="0"/>
                <w:bCs w:val="0"/>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w:t>
            </w:r>
            <w:r>
              <w:rPr>
                <w:rFonts w:hint="default" w:ascii="Times New Roman" w:hAnsi="Times New Roman" w:eastAsia="方正仿宋_GBK" w:cs="Times New Roman"/>
                <w:b w:val="0"/>
                <w:bCs w:val="0"/>
                <w:kern w:val="2"/>
                <w:sz w:val="21"/>
                <w:szCs w:val="21"/>
                <w:lang w:val="en-US" w:eastAsia="zh-CN" w:bidi="ar-SA"/>
              </w:rPr>
              <w:t>3）撒播草籽：根据《中华人民共和国石油天然气管道保护法》相关规定：地下管线敷设段为了考虑后期管道后期安全及正常运营，禁止在管道线路中心线两侧各5米地域范围内种植乔木、灌木、藤类、芦苇、竹子或者其他根系深达管道埋设部位可能损坏管道防腐层的深根植物，因此地下管线敷设作业适宜性评价中心线两侧各5米范围内为草地，推荐选用黑麦草（或狗牙根），按60kg/公顷撒播。</w:t>
            </w:r>
          </w:p>
          <w:p w14:paraId="5BFE838D">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b w:val="0"/>
                <w:bCs w:val="0"/>
                <w:kern w:val="2"/>
                <w:sz w:val="21"/>
                <w:szCs w:val="21"/>
                <w:lang w:val="en-US" w:eastAsia="zh-CN" w:bidi="ar-SA"/>
              </w:rPr>
            </w:pPr>
            <w:r>
              <w:rPr>
                <w:rFonts w:hint="default" w:ascii="Times New Roman" w:hAnsi="Times New Roman" w:eastAsia="方正仿宋_GBK" w:cs="Times New Roman"/>
                <w:b w:val="0"/>
                <w:bCs w:val="0"/>
                <w:kern w:val="2"/>
                <w:sz w:val="21"/>
                <w:szCs w:val="21"/>
                <w:lang w:val="en-US" w:eastAsia="zh-CN" w:bidi="ar-SA"/>
              </w:rPr>
              <w:t>c）配套工程</w:t>
            </w:r>
          </w:p>
          <w:p w14:paraId="1D06B3F0">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b w:val="0"/>
                <w:bCs w:val="0"/>
                <w:kern w:val="2"/>
                <w:sz w:val="21"/>
                <w:szCs w:val="21"/>
                <w:lang w:val="en-US" w:eastAsia="zh-CN" w:bidi="ar-SA"/>
              </w:rPr>
            </w:pPr>
            <w:r>
              <w:rPr>
                <w:rFonts w:hint="default" w:ascii="Times New Roman" w:hAnsi="Times New Roman" w:eastAsia="方正仿宋_GBK" w:cs="Times New Roman"/>
                <w:b w:val="0"/>
                <w:bCs w:val="0"/>
                <w:kern w:val="2"/>
                <w:sz w:val="21"/>
                <w:szCs w:val="21"/>
                <w:lang w:val="en-US" w:eastAsia="zh-CN" w:bidi="ar-SA"/>
              </w:rPr>
              <w:t>（1）灌溉工程：结合水资源平衡分析本方案针对拟复垦为旱地区域进行农渠修筑，同时对损毁区域沟渠部分进行修复。拟复垦为旱地、乔木林地保苗用水费用计入管护费，后期可以通过天然降雨满足需水量。</w:t>
            </w:r>
          </w:p>
          <w:p w14:paraId="73687C4B">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b w:val="0"/>
                <w:bCs w:val="0"/>
                <w:kern w:val="2"/>
                <w:sz w:val="21"/>
                <w:szCs w:val="21"/>
                <w:lang w:val="en-US" w:eastAsia="zh-CN" w:bidi="ar-SA"/>
              </w:rPr>
            </w:pPr>
            <w:r>
              <w:rPr>
                <w:rFonts w:hint="default" w:ascii="Times New Roman" w:hAnsi="Times New Roman" w:eastAsia="方正仿宋_GBK" w:cs="Times New Roman"/>
                <w:b w:val="0"/>
                <w:bCs w:val="0"/>
                <w:kern w:val="2"/>
                <w:sz w:val="21"/>
                <w:szCs w:val="21"/>
                <w:lang w:val="en-US" w:eastAsia="zh-CN" w:bidi="ar-SA"/>
              </w:rPr>
              <w:t>（2）道路工程：为保证保证周边通行及复垦后工程措施的维护等，设计对区内道路损毁区域进行修复，修复道路宽为4m，将路床进行压实后，在道路上铺设20cm泥结石，现状为水泥路面的采用C20混凝土浇筑。</w:t>
            </w:r>
          </w:p>
          <w:p w14:paraId="3F4330F3">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b w:val="0"/>
                <w:bCs w:val="0"/>
                <w:kern w:val="2"/>
                <w:sz w:val="21"/>
                <w:szCs w:val="21"/>
                <w:lang w:val="en-US" w:eastAsia="zh-CN" w:bidi="ar-SA"/>
              </w:rPr>
            </w:pPr>
            <w:r>
              <w:rPr>
                <w:rFonts w:hint="default" w:ascii="Times New Roman" w:hAnsi="Times New Roman" w:eastAsia="方正仿宋_GBK" w:cs="Times New Roman"/>
                <w:b w:val="0"/>
                <w:bCs w:val="0"/>
                <w:kern w:val="2"/>
                <w:sz w:val="21"/>
                <w:szCs w:val="21"/>
                <w:lang w:val="en-US" w:eastAsia="zh-CN" w:bidi="ar-SA"/>
              </w:rPr>
              <w:t>d）监测与管护工程</w:t>
            </w:r>
          </w:p>
          <w:p w14:paraId="259A7258">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b w:val="0"/>
                <w:bCs w:val="0"/>
                <w:kern w:val="2"/>
                <w:sz w:val="21"/>
                <w:szCs w:val="21"/>
                <w:lang w:val="en-US" w:eastAsia="zh-CN" w:bidi="ar-SA"/>
              </w:rPr>
            </w:pPr>
            <w:r>
              <w:rPr>
                <w:rFonts w:hint="default" w:ascii="Times New Roman" w:hAnsi="Times New Roman" w:eastAsia="方正仿宋_GBK" w:cs="Times New Roman"/>
                <w:b w:val="0"/>
                <w:bCs w:val="0"/>
                <w:kern w:val="2"/>
                <w:sz w:val="21"/>
                <w:szCs w:val="21"/>
                <w:lang w:val="en-US" w:eastAsia="zh-CN" w:bidi="ar-SA"/>
              </w:rPr>
              <w:t>（1）监测与管护工程：对复垦区域进行定时浇水、施肥管护，保证苗木的成活率。</w:t>
            </w:r>
          </w:p>
          <w:p w14:paraId="0CBF80FE">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3、保障措施</w:t>
            </w:r>
          </w:p>
          <w:p w14:paraId="774B2E5F">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（1）组织保障措施：</w:t>
            </w:r>
          </w:p>
          <w:p w14:paraId="148E9EAF">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要做好云南成品油管道昆明支线改线工程临时用地土地复垦工作，得力的组织领导和管理措施是土地复垦方案顺利实施的关键。项目在生产过程中造成损毁的土地进行复垦是建设单位应尽的义务，并在生产建设中按照方案的要求完成复垦工程。项目土地复垦工作的负责人要协调好本方案与主体工程的关系，负责组织实施审批的土地复垦方案，进行土地复垦方案的实施管理，全力保证该项工程的土地复垦工作按年度、按计划进行，并主动与自然资源行政主管部门密切配合，自觉接受昆明市滇中新区自然资源规划局及相关行政主管部门的监督检查。</w:t>
            </w:r>
          </w:p>
          <w:p w14:paraId="400D1086">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（2）技术保障措施</w:t>
            </w:r>
          </w:p>
          <w:p w14:paraId="50B2FAAC">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在复垦方案实施阶段，对各种复垦措施进行专项设计，实行设代制度，设计人员进入现场进行指导；选择施工经验丰富，技术力量强的施工单位，建设中尽量采用先进的施工手段和合法的施工工序；加强复垦技术培训工作，提高复垦的管理能力，在复垦方案实施后，要加强其后期的管理工作，发挥复垦效益。</w:t>
            </w:r>
          </w:p>
          <w:p w14:paraId="6893CB39">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（3）费用保障措施：</w:t>
            </w:r>
          </w:p>
          <w:p w14:paraId="785F7C54">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本方案实用期内土地复垦费用从项目投资中逐年计提，复垦资金实行专项管理和定期检查的使用管理办法，充分保证资金的供应到位，按照复垦方案的实施进度计划、资金的年度计划安排、工程的实际进度情况，把资金逐步逐年落实到位，使复垦措施保质保量如期完成。</w:t>
            </w:r>
          </w:p>
          <w:p w14:paraId="38DF72EE">
            <w:pPr>
              <w:spacing w:line="240" w:lineRule="auto"/>
              <w:ind w:firstLine="480"/>
              <w:jc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b w:val="0"/>
                <w:bCs w:val="0"/>
                <w:color w:val="auto"/>
                <w:sz w:val="21"/>
                <w:szCs w:val="21"/>
                <w:highlight w:val="none"/>
                <w:lang w:eastAsia="zh-CN"/>
              </w:rPr>
              <w:t>复垦</w:t>
            </w:r>
            <w:r>
              <w:rPr>
                <w:rFonts w:hint="default" w:ascii="Times New Roman" w:hAnsi="Times New Roman" w:eastAsia="方正仿宋_GBK" w:cs="Times New Roman"/>
                <w:b w:val="0"/>
                <w:bCs w:val="0"/>
                <w:color w:val="auto"/>
                <w:sz w:val="21"/>
                <w:szCs w:val="21"/>
                <w:highlight w:val="none"/>
              </w:rPr>
              <w:t>资金存入表</w:t>
            </w:r>
            <w:r>
              <w:rPr>
                <w:rFonts w:hint="default" w:ascii="Times New Roman" w:hAnsi="Times New Roman" w:eastAsia="方正仿宋_GBK" w:cs="Times New Roman"/>
                <w:b w:val="0"/>
                <w:bCs w:val="0"/>
                <w:color w:val="auto"/>
                <w:sz w:val="21"/>
                <w:szCs w:val="21"/>
                <w:highlight w:val="none"/>
                <w:lang w:val="en-US" w:eastAsia="zh-CN"/>
              </w:rPr>
              <w:t>单位：万元</w:t>
            </w:r>
          </w:p>
          <w:tbl>
            <w:tblPr>
              <w:tblStyle w:val="5"/>
              <w:tblW w:w="7619" w:type="dxa"/>
              <w:tblInd w:w="-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55"/>
              <w:gridCol w:w="1574"/>
              <w:gridCol w:w="1675"/>
              <w:gridCol w:w="1915"/>
            </w:tblGrid>
            <w:tr w14:paraId="0990A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73C38B">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时间（年）</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A9786D">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年度投资（万元）</w:t>
                  </w:r>
                </w:p>
              </w:tc>
              <w:tc>
                <w:tcPr>
                  <w:tcW w:w="16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6CCD83">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年度预存（万元）</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top"/>
                </w:tcPr>
                <w:p w14:paraId="5E593ADC">
                  <w:pPr>
                    <w:keepNext w:val="0"/>
                    <w:keepLines w:val="0"/>
                    <w:widowControl/>
                    <w:suppressLineNumbers w:val="0"/>
                    <w:ind w:right="17" w:rightChars="8"/>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阶段预存（万元）</w:t>
                  </w:r>
                </w:p>
              </w:tc>
            </w:tr>
            <w:tr w14:paraId="54D43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4048">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2024年1月-2024年12月</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E9B71">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 xml:space="preserve">119.08 </w:t>
                  </w:r>
                </w:p>
              </w:tc>
              <w:tc>
                <w:tcPr>
                  <w:tcW w:w="1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E6146">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160.07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CF09">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160.07</w:t>
                  </w:r>
                </w:p>
              </w:tc>
            </w:tr>
            <w:tr w14:paraId="43615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30C72">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2025年1月-2025年12月</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36CF">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 xml:space="preserve">12.75 </w:t>
                  </w:r>
                </w:p>
              </w:tc>
              <w:tc>
                <w:tcPr>
                  <w:tcW w:w="1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008A">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9F135">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p>
              </w:tc>
            </w:tr>
            <w:tr w14:paraId="75AE2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4A3B8">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2026年1月-2026年12月</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50D4">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 xml:space="preserve">13.64 </w:t>
                  </w:r>
                </w:p>
              </w:tc>
              <w:tc>
                <w:tcPr>
                  <w:tcW w:w="1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8292">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7931">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p>
              </w:tc>
            </w:tr>
            <w:tr w14:paraId="6CD0D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8" w:hRule="atLeast"/>
              </w:trPr>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22F51">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2027年1月-2027年12月</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A7A9">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 xml:space="preserve">14.60 </w:t>
                  </w:r>
                </w:p>
              </w:tc>
              <w:tc>
                <w:tcPr>
                  <w:tcW w:w="1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1D458">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1A66">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p>
              </w:tc>
            </w:tr>
            <w:tr w14:paraId="3B4B7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4BECC">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合计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E7B03">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 xml:space="preserve">160.07 </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8E6C">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160.07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E926">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18"/>
                      <w:szCs w:val="18"/>
                      <w:u w:val="none"/>
                      <w:lang w:val="en-US" w:eastAsia="zh-CN" w:bidi="ar"/>
                    </w:rPr>
                  </w:pPr>
                  <w:r>
                    <w:rPr>
                      <w:rFonts w:hint="default" w:ascii="Times New Roman" w:hAnsi="Times New Roman" w:eastAsia="方正仿宋_GBK" w:cs="Times New Roman"/>
                      <w:i w:val="0"/>
                      <w:iCs w:val="0"/>
                      <w:color w:val="auto"/>
                      <w:kern w:val="0"/>
                      <w:sz w:val="18"/>
                      <w:szCs w:val="18"/>
                      <w:u w:val="none"/>
                      <w:lang w:val="en-US" w:eastAsia="zh-CN" w:bidi="ar"/>
                    </w:rPr>
                    <w:t>160.07</w:t>
                  </w:r>
                </w:p>
              </w:tc>
            </w:tr>
          </w:tbl>
          <w:p w14:paraId="4F2F7752">
            <w:pPr>
              <w:pStyle w:val="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4、监管保障措施</w:t>
            </w:r>
          </w:p>
          <w:p w14:paraId="47BF3E12">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依据《土地复垦条例》的规定，在项目实施过程中，各有关单位要加强资金使用管理，硬化估算约束。严格执行专款专用、专项管理、单独核算规定，任何单位和个人不得超支出范围和标准开支，更不得截留和挪用项目资金；要建立、健全项目会计核算和内部审核制度，对项目资金实行全过程的财务管理与监督；要严格项目资金竣工决算，规范项目的业绩考评和追踪问效。</w:t>
            </w:r>
          </w:p>
          <w:p w14:paraId="3EC2DCC7">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复垦资金的管理与使用遵循以下原则：</w:t>
            </w:r>
          </w:p>
          <w:p w14:paraId="1C191FD0">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一是设立资金专户，专款专用于土地复垦，保障复垦资金；</w:t>
            </w:r>
          </w:p>
          <w:p w14:paraId="57A879CD">
            <w:pPr>
              <w:pStyle w:val="9"/>
              <w:keepNext w:val="0"/>
              <w:keepLines w:val="0"/>
              <w:pageBreakBefore w:val="0"/>
              <w:widowControl w:val="0"/>
              <w:kinsoku/>
              <w:wordWrap/>
              <w:overflowPunct/>
              <w:topLinePunct w:val="0"/>
              <w:autoSpaceDE/>
              <w:autoSpaceDN/>
              <w:bidi w:val="0"/>
              <w:adjustRightInd/>
              <w:snapToGrid/>
              <w:spacing w:line="240" w:lineRule="auto"/>
              <w:ind w:firstLine="482"/>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二是复垦资金实行先计划后使用；自然资源行政主管部门先审核批准复垦计划，然后按照批复的复垦计划使用资金；</w:t>
            </w:r>
          </w:p>
          <w:p w14:paraId="2BEC4CE1">
            <w:pPr>
              <w:keepNext/>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color w:val="auto"/>
                <w:kern w:val="2"/>
                <w:sz w:val="21"/>
                <w:szCs w:val="21"/>
                <w:lang w:val="en-US" w:eastAsia="zh-CN" w:bidi="ar-SA"/>
              </w:rPr>
              <w:t>三是复垦工程施工结束后，由自然资源行政主管部门组织专家进行竣工验收</w:t>
            </w:r>
            <w:r>
              <w:rPr>
                <w:rFonts w:hint="default" w:ascii="Times New Roman" w:hAnsi="Times New Roman" w:eastAsia="方正仿宋_GBK" w:cs="Times New Roman"/>
                <w:color w:val="auto"/>
                <w:kern w:val="2"/>
                <w:sz w:val="21"/>
                <w:szCs w:val="21"/>
                <w:lang w:val="zh-CN" w:eastAsia="zh-CN" w:bidi="ar-SA"/>
              </w:rPr>
              <w:t>。</w:t>
            </w:r>
          </w:p>
        </w:tc>
      </w:tr>
      <w:tr w14:paraId="340C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8" w:hRule="atLeast"/>
          <w:jc w:val="center"/>
        </w:trPr>
        <w:tc>
          <w:tcPr>
            <w:tcW w:w="703" w:type="dxa"/>
            <w:vAlign w:val="center"/>
          </w:tcPr>
          <w:p w14:paraId="3BE4B64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估</w:t>
            </w:r>
          </w:p>
          <w:p w14:paraId="4A128D2B">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p w14:paraId="4DCCD7D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算</w:t>
            </w:r>
          </w:p>
          <w:p w14:paraId="75072667">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p w14:paraId="182CFE20">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依</w:t>
            </w:r>
          </w:p>
          <w:p w14:paraId="66AAEEE4">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p w14:paraId="72B51541">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据</w:t>
            </w:r>
          </w:p>
          <w:p w14:paraId="6D40E80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p w14:paraId="4073DB22">
            <w:pPr>
              <w:ind w:firstLine="0" w:firstLineChars="0"/>
              <w:rPr>
                <w:rFonts w:hint="default" w:ascii="Times New Roman" w:hAnsi="Times New Roman" w:eastAsia="方正仿宋_GBK" w:cs="Times New Roman"/>
                <w:color w:val="auto"/>
                <w:sz w:val="21"/>
                <w:szCs w:val="21"/>
              </w:rPr>
            </w:pPr>
          </w:p>
          <w:p w14:paraId="41F53B0E">
            <w:pPr>
              <w:ind w:firstLine="0" w:firstLineChars="0"/>
              <w:rPr>
                <w:rFonts w:hint="default" w:ascii="Times New Roman" w:hAnsi="Times New Roman" w:eastAsia="方正仿宋_GBK" w:cs="Times New Roman"/>
                <w:color w:val="auto"/>
                <w:sz w:val="21"/>
                <w:szCs w:val="21"/>
              </w:rPr>
            </w:pPr>
          </w:p>
          <w:p w14:paraId="324E9055">
            <w:pPr>
              <w:ind w:firstLine="0" w:firstLineChars="0"/>
              <w:rPr>
                <w:rFonts w:hint="default" w:ascii="Times New Roman" w:hAnsi="Times New Roman" w:eastAsia="方正仿宋_GBK" w:cs="Times New Roman"/>
                <w:color w:val="auto"/>
                <w:sz w:val="21"/>
                <w:szCs w:val="21"/>
              </w:rPr>
            </w:pPr>
          </w:p>
          <w:p w14:paraId="1C53930B">
            <w:pPr>
              <w:ind w:firstLine="0" w:firstLineChars="0"/>
              <w:rPr>
                <w:rFonts w:hint="default" w:ascii="Times New Roman" w:hAnsi="Times New Roman" w:eastAsia="方正仿宋_GBK" w:cs="Times New Roman"/>
                <w:color w:val="auto"/>
                <w:sz w:val="21"/>
                <w:szCs w:val="21"/>
              </w:rPr>
            </w:pPr>
          </w:p>
          <w:p w14:paraId="527C5053">
            <w:pPr>
              <w:ind w:firstLine="0" w:firstLineChars="0"/>
              <w:rPr>
                <w:rFonts w:hint="default" w:ascii="Times New Roman" w:hAnsi="Times New Roman" w:eastAsia="方正仿宋_GBK" w:cs="Times New Roman"/>
                <w:color w:val="auto"/>
                <w:sz w:val="21"/>
                <w:szCs w:val="21"/>
              </w:rPr>
            </w:pPr>
          </w:p>
          <w:p w14:paraId="2615B8BC">
            <w:pPr>
              <w:ind w:firstLine="0" w:firstLineChars="0"/>
              <w:rPr>
                <w:rFonts w:hint="default" w:ascii="Times New Roman" w:hAnsi="Times New Roman" w:eastAsia="方正仿宋_GBK" w:cs="Times New Roman"/>
                <w:color w:val="auto"/>
                <w:sz w:val="21"/>
                <w:szCs w:val="21"/>
              </w:rPr>
            </w:pPr>
          </w:p>
          <w:p w14:paraId="008CEA72">
            <w:pPr>
              <w:ind w:firstLine="0" w:firstLineChars="0"/>
              <w:rPr>
                <w:rFonts w:hint="default" w:ascii="Times New Roman" w:hAnsi="Times New Roman" w:eastAsia="方正仿宋_GBK" w:cs="Times New Roman"/>
                <w:color w:val="auto"/>
                <w:sz w:val="21"/>
                <w:szCs w:val="21"/>
              </w:rPr>
            </w:pPr>
          </w:p>
          <w:p w14:paraId="36380845">
            <w:pPr>
              <w:ind w:firstLine="0" w:firstLineChars="0"/>
              <w:jc w:val="center"/>
              <w:rPr>
                <w:rFonts w:hint="default" w:ascii="Times New Roman" w:hAnsi="Times New Roman" w:eastAsia="方正仿宋_GBK" w:cs="Times New Roman"/>
                <w:color w:val="auto"/>
                <w:sz w:val="21"/>
                <w:szCs w:val="21"/>
              </w:rPr>
            </w:pPr>
          </w:p>
          <w:p w14:paraId="04588256">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p w14:paraId="298CA387">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p w14:paraId="7FD5CBD2">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p w14:paraId="480C7F2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p w14:paraId="2D84ECDC">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估</w:t>
            </w:r>
          </w:p>
          <w:p w14:paraId="52CED31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p w14:paraId="683D3D49">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算</w:t>
            </w:r>
          </w:p>
          <w:p w14:paraId="559340DF">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p w14:paraId="7BEF64BC">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成</w:t>
            </w:r>
          </w:p>
          <w:p w14:paraId="043DB5B3">
            <w:pPr>
              <w:ind w:firstLine="0" w:firstLineChars="0"/>
              <w:jc w:val="center"/>
              <w:rPr>
                <w:rFonts w:hint="default" w:ascii="Times New Roman" w:hAnsi="Times New Roman" w:eastAsia="方正仿宋_GBK" w:cs="Times New Roman"/>
                <w:bCs/>
                <w:snapToGrid w:val="0"/>
                <w:color w:val="auto"/>
                <w:kern w:val="2"/>
                <w:sz w:val="21"/>
                <w:szCs w:val="21"/>
                <w:highlight w:val="none"/>
                <w:lang w:val="en-US" w:eastAsia="zh-CN" w:bidi="ar-SA"/>
              </w:rPr>
            </w:pPr>
          </w:p>
          <w:p w14:paraId="56A711DD">
            <w:pPr>
              <w:ind w:firstLine="0" w:firstLineChars="0"/>
              <w:jc w:val="center"/>
              <w:rPr>
                <w:rFonts w:hint="default" w:ascii="Times New Roman" w:hAnsi="Times New Roman" w:eastAsia="方正仿宋_GBK" w:cs="Times New Roman"/>
                <w:color w:val="auto"/>
                <w:kern w:val="2"/>
                <w:sz w:val="21"/>
                <w:szCs w:val="21"/>
                <w:lang w:val="en-US" w:eastAsia="zh-CN" w:bidi="ar-SA"/>
              </w:rPr>
            </w:pPr>
            <w:r>
              <w:rPr>
                <w:rFonts w:hint="default" w:ascii="Times New Roman" w:hAnsi="Times New Roman" w:eastAsia="方正仿宋_GBK" w:cs="Times New Roman"/>
                <w:bCs/>
                <w:snapToGrid w:val="0"/>
                <w:color w:val="auto"/>
                <w:kern w:val="2"/>
                <w:sz w:val="21"/>
                <w:szCs w:val="21"/>
                <w:highlight w:val="none"/>
                <w:lang w:val="en-US" w:eastAsia="zh-CN" w:bidi="ar-SA"/>
              </w:rPr>
              <w:t>果</w:t>
            </w:r>
          </w:p>
        </w:tc>
        <w:tc>
          <w:tcPr>
            <w:tcW w:w="8213" w:type="dxa"/>
            <w:gridSpan w:val="15"/>
            <w:vAlign w:val="top"/>
          </w:tcPr>
          <w:p w14:paraId="4A839A65">
            <w:pPr>
              <w:pStyle w:val="9"/>
              <w:keepNext w:val="0"/>
              <w:keepLines/>
              <w:pageBreakBefore w:val="0"/>
              <w:widowControl w:val="0"/>
              <w:kinsoku/>
              <w:wordWrap/>
              <w:overflowPunct/>
              <w:topLinePunct w:val="0"/>
              <w:autoSpaceDE/>
              <w:autoSpaceDN/>
              <w:bidi w:val="0"/>
              <w:adjustRightInd/>
              <w:snapToGrid/>
              <w:spacing w:line="400" w:lineRule="exact"/>
              <w:ind w:firstLine="482"/>
              <w:textAlignment w:val="auto"/>
              <w:rPr>
                <w:rFonts w:hint="default" w:ascii="Times New Roman" w:hAnsi="Times New Roman" w:eastAsia="方正仿宋_GBK" w:cs="Times New Roman"/>
                <w:color w:val="auto"/>
                <w:kern w:val="2"/>
                <w:sz w:val="24"/>
                <w:szCs w:val="24"/>
                <w:lang w:val="zh-CN" w:eastAsia="zh-CN" w:bidi="ar-SA"/>
              </w:rPr>
            </w:pPr>
            <w:r>
              <w:rPr>
                <w:rFonts w:hint="default" w:ascii="Times New Roman" w:hAnsi="Times New Roman" w:eastAsia="方正仿宋_GBK" w:cs="Times New Roman"/>
                <w:color w:val="auto"/>
                <w:kern w:val="2"/>
                <w:sz w:val="24"/>
                <w:szCs w:val="24"/>
                <w:lang w:val="zh-CN" w:eastAsia="zh-CN" w:bidi="ar-SA"/>
              </w:rPr>
              <w:t>5、投资估算编制原则和依据</w:t>
            </w:r>
          </w:p>
          <w:p w14:paraId="3C8D5841">
            <w:pPr>
              <w:pStyle w:val="9"/>
              <w:keepNext w:val="0"/>
              <w:keepLines w:val="0"/>
              <w:pageBreakBefore w:val="0"/>
              <w:widowControl w:val="0"/>
              <w:kinsoku/>
              <w:wordWrap/>
              <w:overflowPunct/>
              <w:topLinePunct w:val="0"/>
              <w:autoSpaceDE/>
              <w:autoSpaceDN/>
              <w:bidi w:val="0"/>
              <w:adjustRightInd/>
              <w:snapToGrid/>
              <w:spacing w:line="400" w:lineRule="exact"/>
              <w:ind w:firstLine="482"/>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人工费、材料单价及定额、费用计算标准以项目实施当年为准，可作适当调整。</w:t>
            </w:r>
          </w:p>
          <w:p w14:paraId="7C39588D">
            <w:pPr>
              <w:pStyle w:val="9"/>
              <w:keepNext w:val="0"/>
              <w:keepLines w:val="0"/>
              <w:pageBreakBefore w:val="0"/>
              <w:widowControl w:val="0"/>
              <w:kinsoku/>
              <w:wordWrap/>
              <w:overflowPunct/>
              <w:topLinePunct w:val="0"/>
              <w:autoSpaceDE/>
              <w:autoSpaceDN/>
              <w:bidi w:val="0"/>
              <w:adjustRightInd/>
              <w:snapToGrid/>
              <w:spacing w:line="400" w:lineRule="exact"/>
              <w:ind w:firstLine="482"/>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人工单价由基本工资、辅助工资和工资附加费三部分组成。根据《云南省人民政府办公厅关于印发云南省降低社会保险费率实施方案的通知》</w:t>
            </w:r>
            <w:r>
              <w:rPr>
                <w:rFonts w:hint="eastAsia" w:ascii="Times New Roman" w:hAnsi="Times New Roman" w:eastAsia="方正仿宋_GBK" w:cs="Times New Roman"/>
                <w:color w:val="auto"/>
                <w:kern w:val="2"/>
                <w:sz w:val="21"/>
                <w:szCs w:val="21"/>
                <w:lang w:val="zh-CN" w:eastAsia="zh-CN" w:bidi="ar-SA"/>
              </w:rPr>
              <w:t>（</w:t>
            </w:r>
            <w:r>
              <w:rPr>
                <w:rFonts w:hint="default" w:ascii="Times New Roman" w:hAnsi="Times New Roman" w:eastAsia="方正仿宋_GBK" w:cs="Times New Roman"/>
                <w:color w:val="auto"/>
                <w:kern w:val="2"/>
                <w:sz w:val="21"/>
                <w:szCs w:val="21"/>
                <w:lang w:val="zh-CN" w:eastAsia="zh-CN" w:bidi="ar-SA"/>
              </w:rPr>
              <w:t>云政办发〔2019〕48号</w:t>
            </w:r>
            <w:r>
              <w:rPr>
                <w:rFonts w:hint="eastAsia" w:ascii="Times New Roman" w:hAnsi="Times New Roman" w:eastAsia="方正仿宋_GBK" w:cs="Times New Roman"/>
                <w:color w:val="auto"/>
                <w:kern w:val="2"/>
                <w:sz w:val="21"/>
                <w:szCs w:val="21"/>
                <w:lang w:val="zh-CN" w:eastAsia="zh-CN" w:bidi="ar-SA"/>
              </w:rPr>
              <w:t>）</w:t>
            </w:r>
            <w:r>
              <w:rPr>
                <w:rFonts w:hint="default" w:ascii="Times New Roman" w:hAnsi="Times New Roman" w:eastAsia="方正仿宋_GBK" w:cs="Times New Roman"/>
                <w:color w:val="auto"/>
                <w:kern w:val="2"/>
                <w:sz w:val="21"/>
                <w:szCs w:val="21"/>
                <w:lang w:val="zh-CN" w:eastAsia="zh-CN" w:bidi="ar-SA"/>
              </w:rPr>
              <w:t>、《土地开发整理项目估预算定额标准》人工估算标准，本项目所在地区属于六类</w:t>
            </w:r>
          </w:p>
          <w:p w14:paraId="5F67E28C">
            <w:pPr>
              <w:pStyle w:val="9"/>
              <w:keepNext w:val="0"/>
              <w:keepLines w:val="0"/>
              <w:pageBreakBefore w:val="0"/>
              <w:widowControl w:val="0"/>
              <w:kinsoku/>
              <w:wordWrap/>
              <w:overflowPunct/>
              <w:topLinePunct w:val="0"/>
              <w:autoSpaceDE/>
              <w:autoSpaceDN/>
              <w:bidi w:val="0"/>
              <w:adjustRightInd/>
              <w:snapToGrid/>
              <w:spacing w:line="400" w:lineRule="exact"/>
              <w:ind w:firstLine="482"/>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工资区，因此甲类工和乙类工的单价按50.7元/工日和38.56元/工日计算。</w:t>
            </w:r>
          </w:p>
          <w:p w14:paraId="188954ED">
            <w:pPr>
              <w:pStyle w:val="9"/>
              <w:keepNext w:val="0"/>
              <w:keepLines w:val="0"/>
              <w:pageBreakBefore w:val="0"/>
              <w:widowControl w:val="0"/>
              <w:kinsoku/>
              <w:wordWrap/>
              <w:overflowPunct/>
              <w:topLinePunct w:val="0"/>
              <w:autoSpaceDE/>
              <w:autoSpaceDN/>
              <w:bidi w:val="0"/>
              <w:adjustRightInd/>
              <w:snapToGrid/>
              <w:spacing w:line="400" w:lineRule="exact"/>
              <w:ind w:firstLine="482"/>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根据《土地开发整理项目预算定额标准云南省补充预算定额》（云国土资〔201</w:t>
            </w:r>
            <w:r>
              <w:rPr>
                <w:rFonts w:hint="default" w:ascii="Times New Roman" w:hAnsi="Times New Roman" w:eastAsia="方正仿宋_GBK" w:cs="Times New Roman"/>
                <w:color w:val="auto"/>
                <w:kern w:val="2"/>
                <w:sz w:val="21"/>
                <w:szCs w:val="21"/>
                <w:lang w:val="en-US" w:eastAsia="zh-CN" w:bidi="ar-SA"/>
              </w:rPr>
              <w:t>6</w:t>
            </w:r>
            <w:r>
              <w:rPr>
                <w:rFonts w:hint="default" w:ascii="Times New Roman" w:hAnsi="Times New Roman" w:eastAsia="方正仿宋_GBK" w:cs="Times New Roman"/>
                <w:color w:val="auto"/>
                <w:kern w:val="2"/>
                <w:sz w:val="21"/>
                <w:szCs w:val="21"/>
                <w:lang w:val="zh-CN" w:eastAsia="zh-CN" w:bidi="ar-SA"/>
              </w:rPr>
              <w:t>〕</w:t>
            </w:r>
            <w:r>
              <w:rPr>
                <w:rFonts w:hint="default" w:ascii="Times New Roman" w:hAnsi="Times New Roman" w:eastAsia="方正仿宋_GBK" w:cs="Times New Roman"/>
                <w:color w:val="auto"/>
                <w:kern w:val="2"/>
                <w:sz w:val="21"/>
                <w:szCs w:val="21"/>
                <w:lang w:val="en-US" w:eastAsia="zh-CN" w:bidi="ar-SA"/>
              </w:rPr>
              <w:t>35</w:t>
            </w:r>
            <w:r>
              <w:rPr>
                <w:rFonts w:hint="default" w:ascii="Times New Roman" w:hAnsi="Times New Roman" w:eastAsia="方正仿宋_GBK" w:cs="Times New Roman"/>
                <w:color w:val="auto"/>
                <w:kern w:val="2"/>
                <w:sz w:val="21"/>
                <w:szCs w:val="21"/>
                <w:lang w:val="zh-CN" w:eastAsia="zh-CN" w:bidi="ar-SA"/>
              </w:rPr>
              <w:t>）</w:t>
            </w:r>
            <w:r>
              <w:rPr>
                <w:rFonts w:hint="default" w:ascii="Times New Roman" w:hAnsi="Times New Roman" w:eastAsia="方正仿宋_GBK" w:cs="Times New Roman"/>
                <w:color w:val="auto"/>
                <w:kern w:val="2"/>
                <w:sz w:val="21"/>
                <w:szCs w:val="21"/>
                <w:lang w:val="en-US" w:eastAsia="zh-CN" w:bidi="ar-SA"/>
              </w:rPr>
              <w:t>号</w:t>
            </w:r>
            <w:r>
              <w:rPr>
                <w:rFonts w:hint="default" w:ascii="Times New Roman" w:hAnsi="Times New Roman" w:eastAsia="方正仿宋_GBK" w:cs="Times New Roman"/>
                <w:color w:val="auto"/>
                <w:kern w:val="2"/>
                <w:sz w:val="21"/>
                <w:szCs w:val="21"/>
                <w:lang w:val="zh-CN" w:eastAsia="zh-CN" w:bidi="ar-SA"/>
              </w:rPr>
              <w:t>及云南省建设工程《造价信息》（2023年</w:t>
            </w:r>
            <w:r>
              <w:rPr>
                <w:rFonts w:hint="default" w:ascii="Times New Roman" w:hAnsi="Times New Roman" w:eastAsia="方正仿宋_GBK" w:cs="Times New Roman"/>
                <w:color w:val="auto"/>
                <w:kern w:val="2"/>
                <w:sz w:val="21"/>
                <w:szCs w:val="21"/>
                <w:lang w:val="en-US" w:eastAsia="zh-CN" w:bidi="ar-SA"/>
              </w:rPr>
              <w:t>11</w:t>
            </w:r>
            <w:r>
              <w:rPr>
                <w:rFonts w:hint="default" w:ascii="Times New Roman" w:hAnsi="Times New Roman" w:eastAsia="方正仿宋_GBK" w:cs="Times New Roman"/>
                <w:color w:val="auto"/>
                <w:kern w:val="2"/>
                <w:sz w:val="21"/>
                <w:szCs w:val="21"/>
                <w:lang w:val="zh-CN" w:eastAsia="zh-CN" w:bidi="ar-SA"/>
              </w:rPr>
              <w:t>月），结合本工程土地复垦措施和工程量，本方案复垦投资估算静态投资</w:t>
            </w:r>
            <w:r>
              <w:rPr>
                <w:rFonts w:hint="default" w:ascii="Times New Roman" w:hAnsi="Times New Roman" w:eastAsia="方正仿宋_GBK" w:cs="Times New Roman"/>
                <w:color w:val="auto"/>
                <w:kern w:val="2"/>
                <w:sz w:val="21"/>
                <w:szCs w:val="21"/>
                <w:lang w:val="en-US" w:eastAsia="zh-CN" w:bidi="ar-SA"/>
              </w:rPr>
              <w:t>154.83万</w:t>
            </w:r>
            <w:r>
              <w:rPr>
                <w:rFonts w:hint="default" w:ascii="Times New Roman" w:hAnsi="Times New Roman" w:eastAsia="方正仿宋_GBK" w:cs="Times New Roman"/>
                <w:color w:val="auto"/>
                <w:kern w:val="2"/>
                <w:sz w:val="21"/>
                <w:szCs w:val="21"/>
                <w:lang w:val="zh-CN" w:eastAsia="zh-CN" w:bidi="ar-SA"/>
              </w:rPr>
              <w:t>元，动态投资</w:t>
            </w:r>
            <w:r>
              <w:rPr>
                <w:rFonts w:hint="default" w:ascii="Times New Roman" w:hAnsi="Times New Roman" w:eastAsia="方正仿宋_GBK" w:cs="Times New Roman"/>
                <w:color w:val="auto"/>
                <w:kern w:val="2"/>
                <w:sz w:val="21"/>
                <w:szCs w:val="21"/>
                <w:lang w:val="en-US" w:eastAsia="zh-CN" w:bidi="ar-SA"/>
              </w:rPr>
              <w:t>160.07万</w:t>
            </w:r>
            <w:r>
              <w:rPr>
                <w:rFonts w:hint="default" w:ascii="Times New Roman" w:hAnsi="Times New Roman" w:eastAsia="方正仿宋_GBK" w:cs="Times New Roman"/>
                <w:color w:val="auto"/>
                <w:kern w:val="2"/>
                <w:sz w:val="21"/>
                <w:szCs w:val="21"/>
                <w:lang w:val="zh-CN" w:eastAsia="zh-CN" w:bidi="ar-SA"/>
              </w:rPr>
              <w:t>元；复垦面积5.2245m²，静态亩均投资19751.28元，动态亩均投资20425.78元。</w:t>
            </w:r>
          </w:p>
          <w:p w14:paraId="7A4DA4D2">
            <w:pPr>
              <w:pStyle w:val="9"/>
              <w:keepNext w:val="0"/>
              <w:keepLines w:val="0"/>
              <w:pageBreakBefore w:val="0"/>
              <w:widowControl w:val="0"/>
              <w:kinsoku/>
              <w:wordWrap/>
              <w:overflowPunct/>
              <w:topLinePunct w:val="0"/>
              <w:autoSpaceDE/>
              <w:autoSpaceDN/>
              <w:bidi w:val="0"/>
              <w:adjustRightInd/>
              <w:snapToGrid/>
              <w:spacing w:line="400" w:lineRule="exact"/>
              <w:ind w:firstLine="482"/>
              <w:textAlignment w:val="auto"/>
              <w:rPr>
                <w:rFonts w:hint="default" w:ascii="Times New Roman" w:hAnsi="Times New Roman" w:eastAsia="方正仿宋_GBK" w:cs="Times New Roman"/>
                <w:color w:val="auto"/>
                <w:kern w:val="2"/>
                <w:sz w:val="21"/>
                <w:szCs w:val="21"/>
                <w:lang w:val="zh-CN" w:eastAsia="zh-CN" w:bidi="ar-SA"/>
              </w:rPr>
            </w:pPr>
            <w:r>
              <w:rPr>
                <w:rFonts w:hint="default" w:ascii="Times New Roman" w:hAnsi="Times New Roman" w:eastAsia="方正仿宋_GBK" w:cs="Times New Roman"/>
                <w:color w:val="auto"/>
                <w:kern w:val="2"/>
                <w:sz w:val="21"/>
                <w:szCs w:val="21"/>
                <w:lang w:val="zh-CN" w:eastAsia="zh-CN" w:bidi="ar-SA"/>
              </w:rPr>
              <w:t>按照“谁损毁、谁复垦”的原则，本项目属于国家管网集团西南管道有限责任公司昆明输油气分公司自筹资金项目，纳入本次投资估算范围的工程建设资金全部由国家管网集团西南管道有限责任公司昆明输油气分公司承担。</w:t>
            </w:r>
          </w:p>
          <w:p w14:paraId="690CF661">
            <w:pPr>
              <w:pStyle w:val="9"/>
              <w:keepNext w:val="0"/>
              <w:keepLines w:val="0"/>
              <w:pageBreakBefore w:val="0"/>
              <w:widowControl w:val="0"/>
              <w:kinsoku/>
              <w:wordWrap/>
              <w:overflowPunct/>
              <w:topLinePunct w:val="0"/>
              <w:autoSpaceDE/>
              <w:autoSpaceDN/>
              <w:bidi w:val="0"/>
              <w:adjustRightInd/>
              <w:snapToGrid/>
              <w:spacing w:line="400" w:lineRule="exact"/>
              <w:ind w:firstLine="482" w:firstLineChars="0"/>
              <w:textAlignment w:val="auto"/>
              <w:rPr>
                <w:rFonts w:hint="default" w:ascii="Times New Roman" w:hAnsi="Times New Roman" w:eastAsia="方正仿宋_GBK" w:cs="Times New Roman"/>
                <w:bCs/>
                <w:snapToGrid w:val="0"/>
                <w:color w:val="auto"/>
                <w:kern w:val="2"/>
                <w:sz w:val="21"/>
                <w:szCs w:val="21"/>
                <w:lang w:val="en-US" w:eastAsia="zh-CN" w:bidi="ar-SA"/>
              </w:rPr>
            </w:pPr>
          </w:p>
          <w:p w14:paraId="65F542CB">
            <w:pPr>
              <w:spacing w:line="240" w:lineRule="auto"/>
              <w:ind w:left="0" w:leftChars="0" w:firstLine="0" w:firstLineChars="0"/>
              <w:jc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lang w:val="en-US" w:eastAsia="zh-CN"/>
              </w:rPr>
              <w:t>土地复垦投资预算总表</w:t>
            </w:r>
          </w:p>
          <w:tbl>
            <w:tblPr>
              <w:tblStyle w:val="5"/>
              <w:tblW w:w="79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3"/>
              <w:gridCol w:w="2167"/>
              <w:gridCol w:w="1900"/>
              <w:gridCol w:w="2839"/>
            </w:tblGrid>
            <w:tr w14:paraId="7D108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692F3">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序号</w:t>
                  </w: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FE25">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工程或费用名称</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A0E5">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费用（万元）</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CE62">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占总投资的比列（%）</w:t>
                  </w:r>
                </w:p>
              </w:tc>
            </w:tr>
            <w:tr w14:paraId="4EA47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E6559">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一</w:t>
                  </w: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16E3">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工程施工费</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91C41">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98.31 </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7ADD">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61.42 </w:t>
                  </w:r>
                </w:p>
              </w:tc>
            </w:tr>
            <w:tr w14:paraId="220E6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4F9A">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二</w:t>
                  </w: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47FB">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设备费</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0ECA">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0.00 </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EFE8D">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0.00 </w:t>
                  </w:r>
                </w:p>
              </w:tc>
            </w:tr>
            <w:tr w14:paraId="7E0A7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7A5C">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三</w:t>
                  </w: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2D9BE">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其他费用</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396F">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31.01 </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6D08">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19.37 </w:t>
                  </w:r>
                </w:p>
              </w:tc>
            </w:tr>
            <w:tr w14:paraId="02605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0AC94">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四</w:t>
                  </w: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628BE">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监测与管护费</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01774">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12.73 </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15A21">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7.95 </w:t>
                  </w:r>
                </w:p>
              </w:tc>
            </w:tr>
            <w:tr w14:paraId="37D10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CD78A">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（一）</w:t>
                  </w: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31BE">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复垦监测费</w:t>
                  </w:r>
                </w:p>
              </w:tc>
              <w:tc>
                <w:tcPr>
                  <w:tcW w:w="1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31922">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7.76 </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C49B">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4.85 </w:t>
                  </w:r>
                </w:p>
              </w:tc>
            </w:tr>
            <w:tr w14:paraId="7679D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72785">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（二）</w:t>
                  </w: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03D79">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管护费</w:t>
                  </w:r>
                </w:p>
              </w:tc>
              <w:tc>
                <w:tcPr>
                  <w:tcW w:w="1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A9685">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4.97 </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BEFD">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3.10 </w:t>
                  </w:r>
                </w:p>
              </w:tc>
            </w:tr>
            <w:tr w14:paraId="77519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066B">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五</w:t>
                  </w: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1A302">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预备费</w:t>
                  </w:r>
                </w:p>
              </w:tc>
              <w:tc>
                <w:tcPr>
                  <w:tcW w:w="1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B099E">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18.03 </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8D51">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11.26 </w:t>
                  </w:r>
                </w:p>
              </w:tc>
            </w:tr>
            <w:tr w14:paraId="4A891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A974">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（一）</w:t>
                  </w: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4C08E">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基本预备费</w:t>
                  </w:r>
                </w:p>
              </w:tc>
              <w:tc>
                <w:tcPr>
                  <w:tcW w:w="1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601C1">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8.52 </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2A6B3">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5.32 </w:t>
                  </w:r>
                </w:p>
              </w:tc>
            </w:tr>
            <w:tr w14:paraId="09DED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3D4E">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（二）</w:t>
                  </w: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4D16">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价差预备费</w:t>
                  </w:r>
                </w:p>
              </w:tc>
              <w:tc>
                <w:tcPr>
                  <w:tcW w:w="1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11FC7">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5.24 </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31A84">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3.28 </w:t>
                  </w:r>
                </w:p>
              </w:tc>
            </w:tr>
            <w:tr w14:paraId="4D5DD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F2FF">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（三）</w:t>
                  </w: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CA0A3">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风险金</w:t>
                  </w:r>
                </w:p>
              </w:tc>
              <w:tc>
                <w:tcPr>
                  <w:tcW w:w="1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1BEB5">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4.26 </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C9510">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2.66 </w:t>
                  </w:r>
                </w:p>
              </w:tc>
            </w:tr>
            <w:tr w14:paraId="10AB5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9129">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六</w:t>
                  </w: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2AB64">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静态总投资</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7D776">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154.83 </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C921">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96.72 </w:t>
                  </w:r>
                </w:p>
              </w:tc>
            </w:tr>
            <w:tr w14:paraId="50CBB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8DC4">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七</w:t>
                  </w: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5AAEA">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auto"/>
                      <w:kern w:val="0"/>
                      <w:sz w:val="21"/>
                      <w:szCs w:val="21"/>
                      <w:u w:val="none"/>
                      <w:lang w:val="en-US" w:eastAsia="zh-CN" w:bidi="ar"/>
                    </w:rPr>
                    <w:t>动态总投资</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F13F">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160.07 </w:t>
                  </w:r>
                </w:p>
              </w:tc>
              <w:tc>
                <w:tcPr>
                  <w:tcW w:w="2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CF54">
                  <w:pPr>
                    <w:keepNext w:val="0"/>
                    <w:keepLines w:val="0"/>
                    <w:widowControl/>
                    <w:suppressLineNumbers w:val="0"/>
                    <w:jc w:val="center"/>
                    <w:textAlignment w:val="center"/>
                    <w:rPr>
                      <w:rFonts w:hint="default" w:ascii="Times New Roman" w:hAnsi="Times New Roman" w:eastAsia="方正仿宋_GBK" w:cs="Times New Roman"/>
                      <w:bCs/>
                      <w:snapToGrid w:val="0"/>
                      <w:color w:val="auto"/>
                      <w:kern w:val="2"/>
                      <w:sz w:val="21"/>
                      <w:szCs w:val="21"/>
                      <w:lang w:val="en-US" w:eastAsia="zh-CN" w:bidi="ar-SA"/>
                    </w:rPr>
                  </w:pPr>
                  <w:r>
                    <w:rPr>
                      <w:rFonts w:hint="default" w:ascii="Times New Roman" w:hAnsi="Times New Roman" w:eastAsia="方正仿宋_GBK" w:cs="Times New Roman"/>
                      <w:i w:val="0"/>
                      <w:iCs w:val="0"/>
                      <w:color w:val="auto"/>
                      <w:kern w:val="0"/>
                      <w:sz w:val="21"/>
                      <w:szCs w:val="21"/>
                      <w:u w:val="none"/>
                      <w:lang w:val="en-US" w:eastAsia="zh-CN" w:bidi="ar"/>
                    </w:rPr>
                    <w:t xml:space="preserve">100.00 </w:t>
                  </w:r>
                </w:p>
              </w:tc>
            </w:tr>
          </w:tbl>
          <w:p w14:paraId="7D4E2E3C">
            <w:pPr>
              <w:ind w:firstLine="0" w:firstLineChars="0"/>
              <w:jc w:val="center"/>
              <w:rPr>
                <w:rFonts w:hint="default" w:ascii="Times New Roman" w:hAnsi="Times New Roman" w:eastAsia="方正仿宋_GBK" w:cs="Times New Roman"/>
                <w:color w:val="auto"/>
                <w:kern w:val="2"/>
                <w:sz w:val="21"/>
                <w:szCs w:val="24"/>
                <w:highlight w:val="none"/>
                <w:vertAlign w:val="baseline"/>
                <w:lang w:val="en-US" w:eastAsia="zh-CN" w:bidi="ar-SA"/>
              </w:rPr>
            </w:pPr>
          </w:p>
        </w:tc>
      </w:tr>
    </w:tbl>
    <w:p w14:paraId="238F0403"/>
    <w:p w14:paraId="1A278F26">
      <w:pPr>
        <w:sectPr>
          <w:pgSz w:w="11906" w:h="16838"/>
          <w:pgMar w:top="1440" w:right="1800" w:bottom="1440" w:left="1800" w:header="851" w:footer="992" w:gutter="0"/>
          <w:pgNumType w:fmt="decimal"/>
          <w:cols w:space="425" w:num="1"/>
          <w:docGrid w:type="lines" w:linePitch="312" w:charSpace="0"/>
        </w:sectPr>
      </w:pPr>
    </w:p>
    <w:p w14:paraId="568C8B4F">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黑体_GBK" w:cs="Times New Roman"/>
          <w:b w:val="0"/>
          <w:bCs/>
          <w:snapToGrid w:val="0"/>
          <w:kern w:val="0"/>
          <w:sz w:val="32"/>
          <w:szCs w:val="32"/>
          <w:lang w:val="en-US" w:eastAsia="zh-CN" w:bidi="ar-SA"/>
        </w:rPr>
      </w:pPr>
      <w:r>
        <w:rPr>
          <w:rFonts w:hint="default" w:ascii="Times New Roman" w:hAnsi="Times New Roman" w:eastAsia="方正黑体_GBK" w:cs="Times New Roman"/>
          <w:b w:val="0"/>
          <w:bCs/>
          <w:snapToGrid w:val="0"/>
          <w:kern w:val="0"/>
          <w:sz w:val="32"/>
          <w:szCs w:val="32"/>
          <w:lang w:val="en-US" w:eastAsia="zh-CN" w:bidi="ar-SA"/>
        </w:rPr>
        <w:t>土地复垦方案摘要</w:t>
      </w:r>
    </w:p>
    <w:p w14:paraId="0125D7C5">
      <w:pPr>
        <w:pStyle w:val="10"/>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黑体_GBK" w:cs="Times New Roman"/>
          <w:b w:val="0"/>
          <w:bCs w:val="0"/>
          <w:sz w:val="30"/>
          <w:lang w:val="en-US" w:eastAsia="zh-CN"/>
        </w:rPr>
      </w:pPr>
      <w:bookmarkStart w:id="15" w:name="_Toc13992"/>
      <w:bookmarkStart w:id="16" w:name="_Toc128579825"/>
      <w:r>
        <w:rPr>
          <w:rFonts w:hint="default" w:ascii="Times New Roman" w:hAnsi="Times New Roman" w:eastAsia="方正黑体_GBK" w:cs="Times New Roman"/>
          <w:b w:val="0"/>
          <w:bCs w:val="0"/>
          <w:sz w:val="30"/>
          <w:lang w:val="en-US" w:eastAsia="zh-CN"/>
        </w:rPr>
        <w:t>一、复垦</w:t>
      </w:r>
      <w:r>
        <w:rPr>
          <w:rFonts w:hint="default" w:ascii="方正黑体_GBK" w:hAnsi="方正黑体_GBK" w:eastAsia="方正黑体_GBK" w:cs="方正黑体_GBK"/>
          <w:b w:val="0"/>
          <w:bCs w:val="0"/>
          <w:sz w:val="30"/>
          <w:lang w:val="en-US" w:eastAsia="zh-CN"/>
        </w:rPr>
        <w:t>方案</w:t>
      </w:r>
      <w:r>
        <w:rPr>
          <w:rFonts w:hint="default" w:ascii="Times New Roman" w:hAnsi="Times New Roman" w:eastAsia="方正黑体_GBK" w:cs="Times New Roman"/>
          <w:b w:val="0"/>
          <w:bCs w:val="0"/>
          <w:sz w:val="30"/>
          <w:lang w:val="en-US" w:eastAsia="zh-CN"/>
        </w:rPr>
        <w:t>服务年限</w:t>
      </w:r>
      <w:bookmarkEnd w:id="15"/>
      <w:bookmarkEnd w:id="16"/>
    </w:p>
    <w:p w14:paraId="5509D6C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本项目建设年限为0.5年（2024年1月—2024年06月），</w:t>
      </w:r>
      <w:r>
        <w:rPr>
          <w:rFonts w:hint="default" w:ascii="Times New Roman" w:hAnsi="Times New Roman" w:eastAsia="方正仿宋_GBK" w:cs="Times New Roman"/>
          <w:color w:val="auto"/>
          <w:kern w:val="2"/>
          <w:sz w:val="24"/>
          <w:szCs w:val="24"/>
          <w:lang w:val="zh-CN" w:eastAsia="zh-CN" w:bidi="ar-SA"/>
        </w:rPr>
        <w:t>根据本项目的特点</w:t>
      </w:r>
      <w:r>
        <w:rPr>
          <w:rFonts w:hint="default" w:ascii="Times New Roman" w:hAnsi="Times New Roman" w:eastAsia="方正仿宋_GBK" w:cs="Times New Roman"/>
          <w:color w:val="auto"/>
          <w:kern w:val="2"/>
          <w:sz w:val="24"/>
          <w:szCs w:val="24"/>
          <w:lang w:val="en-US" w:eastAsia="zh-CN" w:bidi="ar-SA"/>
        </w:rPr>
        <w:t>，本方案设计服务年限由项目建设年限0.5年、复垦期0.5年（2024年06月—2024年12月）、监测与管护期取3年（2025年1月—2027年12月），共计4.0年，因此本方案的服务年限为（2024年1月-2027年12月）。</w:t>
      </w:r>
    </w:p>
    <w:p w14:paraId="6BFC89D0">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在土地复垦方案服务年限内，若项目规划及建设发生变化，应对土地复垦方案进行及时修订，应保证复垦义务、责任和资金的相应变更与接续；后续若新增临时用地范围需针对其他临时用地编制土地复垦方案，并按照临时用地进行报批。</w:t>
      </w:r>
    </w:p>
    <w:p w14:paraId="03E4E82E">
      <w:pPr>
        <w:pStyle w:val="10"/>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黑体_GBK" w:cs="Times New Roman"/>
          <w:b w:val="0"/>
          <w:bCs w:val="0"/>
          <w:sz w:val="30"/>
          <w:lang w:val="en-US" w:eastAsia="zh-CN"/>
        </w:rPr>
      </w:pPr>
      <w:bookmarkStart w:id="17" w:name="_Toc128579826"/>
      <w:bookmarkStart w:id="18" w:name="_Toc18163"/>
      <w:r>
        <w:rPr>
          <w:rFonts w:hint="default" w:ascii="Times New Roman" w:hAnsi="Times New Roman" w:eastAsia="方正黑体_GBK" w:cs="Times New Roman"/>
          <w:b w:val="0"/>
          <w:bCs w:val="0"/>
          <w:sz w:val="30"/>
          <w:lang w:val="en-US" w:eastAsia="zh-CN"/>
        </w:rPr>
        <w:t>二、方案涉及各类</w:t>
      </w:r>
      <w:r>
        <w:rPr>
          <w:rFonts w:hint="default" w:ascii="方正黑体_GBK" w:hAnsi="方正黑体_GBK" w:eastAsia="方正黑体_GBK" w:cs="方正黑体_GBK"/>
          <w:b w:val="0"/>
          <w:bCs w:val="0"/>
          <w:sz w:val="30"/>
          <w:lang w:val="en-US" w:eastAsia="zh-CN"/>
        </w:rPr>
        <w:t>土地</w:t>
      </w:r>
      <w:r>
        <w:rPr>
          <w:rFonts w:hint="default" w:ascii="Times New Roman" w:hAnsi="Times New Roman" w:eastAsia="方正黑体_GBK" w:cs="Times New Roman"/>
          <w:b w:val="0"/>
          <w:bCs w:val="0"/>
          <w:sz w:val="30"/>
          <w:lang w:val="en-US" w:eastAsia="zh-CN"/>
        </w:rPr>
        <w:t>面积</w:t>
      </w:r>
      <w:bookmarkEnd w:id="17"/>
      <w:bookmarkEnd w:id="18"/>
    </w:p>
    <w:p w14:paraId="30BFD29B">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云南成品油管道昆明支线改线工程临时用地项目区面积为5.2245hm²，复垦区面积为5.2245hm²，复垦责任范围面积为5.2245hm²，根据官渡区2022年度国土变更调查数据，林地***hm²、耕地***hm²、交通运输用地***hm²、沟渠***hm²、田坎***hm²。</w:t>
      </w:r>
      <w:r>
        <w:rPr>
          <w:rFonts w:hint="default" w:ascii="Times New Roman" w:hAnsi="Times New Roman" w:eastAsia="方正仿宋_GBK" w:cs="Times New Roman"/>
          <w:color w:val="auto"/>
          <w:kern w:val="2"/>
          <w:sz w:val="24"/>
          <w:szCs w:val="24"/>
          <w:lang w:val="zh-CN" w:eastAsia="zh-CN" w:bidi="ar-SA"/>
        </w:rPr>
        <w:t>本方案仅针对</w:t>
      </w:r>
      <w:r>
        <w:rPr>
          <w:rFonts w:hint="default" w:ascii="Times New Roman" w:hAnsi="Times New Roman" w:eastAsia="方正仿宋_GBK" w:cs="Times New Roman"/>
          <w:color w:val="auto"/>
          <w:kern w:val="2"/>
          <w:sz w:val="24"/>
          <w:szCs w:val="24"/>
          <w:lang w:val="en-US" w:eastAsia="zh-CN" w:bidi="ar-SA"/>
        </w:rPr>
        <w:t>云南成品油管道昆明支线改线工程临时用地土地复垦方案的编制</w:t>
      </w:r>
      <w:r>
        <w:rPr>
          <w:rFonts w:hint="default" w:ascii="Times New Roman" w:hAnsi="Times New Roman" w:eastAsia="方正仿宋_GBK" w:cs="Times New Roman"/>
          <w:color w:val="auto"/>
          <w:kern w:val="2"/>
          <w:sz w:val="24"/>
          <w:szCs w:val="24"/>
          <w:lang w:val="zh-CN" w:eastAsia="zh-CN" w:bidi="ar-SA"/>
        </w:rPr>
        <w:t>，临时用地总用地</w:t>
      </w:r>
      <w:r>
        <w:rPr>
          <w:rFonts w:hint="default" w:ascii="Times New Roman" w:hAnsi="Times New Roman" w:eastAsia="方正仿宋_GBK" w:cs="Times New Roman"/>
          <w:color w:val="auto"/>
          <w:kern w:val="2"/>
          <w:sz w:val="24"/>
          <w:szCs w:val="24"/>
          <w:lang w:val="en-US" w:eastAsia="zh-CN" w:bidi="ar-SA"/>
        </w:rPr>
        <w:t>面积5.2245</w:t>
      </w:r>
      <w:r>
        <w:rPr>
          <w:rFonts w:hint="default" w:ascii="Times New Roman" w:hAnsi="Times New Roman" w:eastAsia="方正仿宋_GBK" w:cs="Times New Roman"/>
          <w:color w:val="auto"/>
          <w:kern w:val="2"/>
          <w:sz w:val="24"/>
          <w:szCs w:val="24"/>
          <w:lang w:val="zh-CN" w:eastAsia="zh-CN" w:bidi="ar-SA"/>
        </w:rPr>
        <w:t>hm²，临时占用永久基本农田</w:t>
      </w:r>
      <w:r>
        <w:rPr>
          <w:rFonts w:hint="eastAsia" w:ascii="Times New Roman" w:hAnsi="Times New Roman" w:eastAsia="方正仿宋_GBK" w:cs="Times New Roman"/>
          <w:color w:val="auto"/>
          <w:kern w:val="2"/>
          <w:sz w:val="24"/>
          <w:szCs w:val="24"/>
          <w:lang w:val="en-US" w:eastAsia="zh-CN" w:bidi="ar-SA"/>
        </w:rPr>
        <w:t>***</w:t>
      </w:r>
      <w:r>
        <w:rPr>
          <w:rFonts w:hint="default" w:ascii="Times New Roman" w:hAnsi="Times New Roman" w:eastAsia="方正仿宋_GBK" w:cs="Times New Roman"/>
          <w:color w:val="auto"/>
          <w:kern w:val="2"/>
          <w:sz w:val="24"/>
          <w:szCs w:val="24"/>
          <w:lang w:val="zh-CN" w:eastAsia="zh-CN" w:bidi="ar-SA"/>
        </w:rPr>
        <w:t>hm²，</w:t>
      </w:r>
      <w:r>
        <w:rPr>
          <w:rFonts w:hint="default" w:ascii="Times New Roman" w:hAnsi="Times New Roman" w:eastAsia="方正仿宋_GBK" w:cs="Times New Roman"/>
          <w:color w:val="auto"/>
          <w:kern w:val="2"/>
          <w:sz w:val="24"/>
          <w:szCs w:val="24"/>
          <w:lang w:val="en-US" w:eastAsia="zh-CN" w:bidi="ar-SA"/>
        </w:rPr>
        <w:t>云南成品油管道昆明支线改线工程临时用地共涉及6个地块分别是：地块1：1#材料堆场0.0961公顷，地块2、3、4、6：地下管线敷设作业5.0649公顷，地块5：2#材料堆场0.0635公顷。</w:t>
      </w:r>
    </w:p>
    <w:p w14:paraId="5203B5C2">
      <w:pPr>
        <w:pStyle w:val="10"/>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黑体_GBK" w:cs="Times New Roman"/>
          <w:b w:val="0"/>
          <w:bCs w:val="0"/>
          <w:sz w:val="30"/>
          <w:lang w:val="en-US" w:eastAsia="zh-CN"/>
        </w:rPr>
      </w:pPr>
      <w:bookmarkStart w:id="19" w:name="_Toc529"/>
      <w:bookmarkStart w:id="20" w:name="_Toc128579827"/>
      <w:r>
        <w:rPr>
          <w:rFonts w:hint="default" w:ascii="Times New Roman" w:hAnsi="Times New Roman" w:eastAsia="方正黑体_GBK" w:cs="Times New Roman"/>
          <w:b w:val="0"/>
          <w:bCs w:val="0"/>
          <w:sz w:val="30"/>
          <w:lang w:val="en-US" w:eastAsia="zh-CN"/>
        </w:rPr>
        <w:t>三、土地损毁情况</w:t>
      </w:r>
      <w:bookmarkEnd w:id="19"/>
      <w:bookmarkEnd w:id="20"/>
    </w:p>
    <w:p w14:paraId="518B9FE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根据现场踏勘，项目区未开工，因此未对土地造成损毁。根据官渡区（2022年度）国土变更调查数据，本方案服务年限内云南成品油管道昆明支线改线工程临时用地拟损毁土地总面积为5.2245hm²。</w:t>
      </w:r>
    </w:p>
    <w:p w14:paraId="5A753C66">
      <w:pPr>
        <w:pStyle w:val="2"/>
        <w:keepNext/>
        <w:keepLines/>
        <w:pageBreakBefore w:val="0"/>
        <w:widowControl w:val="0"/>
        <w:kinsoku/>
        <w:wordWrap/>
        <w:overflowPunct/>
        <w:topLinePunct w:val="0"/>
        <w:autoSpaceDE/>
        <w:autoSpaceDN/>
        <w:bidi w:val="0"/>
        <w:adjustRightInd/>
        <w:snapToGrid/>
        <w:spacing w:beforeLines="0" w:line="560" w:lineRule="exact"/>
        <w:ind w:firstLine="600" w:firstLineChars="200"/>
        <w:jc w:val="left"/>
        <w:textAlignment w:val="auto"/>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z w:val="30"/>
          <w:szCs w:val="30"/>
        </w:rPr>
        <w:t>四、土地复垦目标</w:t>
      </w:r>
    </w:p>
    <w:p w14:paraId="5DBADD44">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kern w:val="2"/>
          <w:sz w:val="24"/>
          <w:szCs w:val="24"/>
          <w:lang w:val="en-US" w:eastAsia="zh-CN" w:bidi="ar-SA"/>
        </w:rPr>
        <w:t>本项目复垦责任范围面积为5.2245公顷。本方案规划复垦面积5.2245公顷，其中耕地0.3494公顷、园地0.2816公顷、林地0.7376公顷，草地3.6881公顷，其他土地0.1678公顷，土地复垦率为100%。</w:t>
      </w:r>
    </w:p>
    <w:p w14:paraId="1C947729">
      <w:pPr>
        <w:pStyle w:val="10"/>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黑体_GBK" w:cs="Times New Roman"/>
          <w:b w:val="0"/>
          <w:bCs w:val="0"/>
          <w:sz w:val="30"/>
          <w:lang w:val="en-US" w:eastAsia="zh-CN"/>
        </w:rPr>
      </w:pPr>
      <w:bookmarkStart w:id="21" w:name="_Toc15146"/>
      <w:bookmarkStart w:id="22" w:name="_Toc128579829"/>
      <w:r>
        <w:rPr>
          <w:rFonts w:hint="eastAsia" w:ascii="Times New Roman" w:hAnsi="Times New Roman" w:eastAsia="方正黑体_GBK" w:cs="Times New Roman"/>
          <w:b w:val="0"/>
          <w:bCs w:val="0"/>
          <w:sz w:val="30"/>
          <w:lang w:val="en-US" w:eastAsia="zh-CN"/>
        </w:rPr>
        <w:t>五</w:t>
      </w:r>
      <w:r>
        <w:rPr>
          <w:rFonts w:hint="default" w:ascii="Times New Roman" w:hAnsi="Times New Roman" w:eastAsia="方正黑体_GBK" w:cs="Times New Roman"/>
          <w:b w:val="0"/>
          <w:bCs w:val="0"/>
          <w:sz w:val="30"/>
          <w:lang w:val="en-US" w:eastAsia="zh-CN"/>
        </w:rPr>
        <w:t>、土地复垦投资概况</w:t>
      </w:r>
      <w:bookmarkEnd w:id="21"/>
      <w:bookmarkEnd w:id="22"/>
    </w:p>
    <w:p w14:paraId="27A54E4A">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根据预测工程量做出土地复垦投资估算，本方案复垦投资估算静态投资154.83万元，动态投资160.07万元；复垦面积5.2245m²，静态亩均投资19751.28元，动态亩均投资20425.78元。</w:t>
      </w:r>
    </w:p>
    <w:p w14:paraId="37227EC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3CA501-884A-4A0A-8EF2-21426AB8694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897FA5D-E865-44AB-84A6-6580471685AB}"/>
  </w:font>
  <w:font w:name="方正小标宋_GBK">
    <w:altName w:val="微软雅黑"/>
    <w:panose1 w:val="03000509000000000000"/>
    <w:charset w:val="86"/>
    <w:family w:val="auto"/>
    <w:pitch w:val="default"/>
    <w:sig w:usb0="00000000" w:usb1="00000000" w:usb2="00000000" w:usb3="00000000" w:csb0="00040000" w:csb1="00000000"/>
  </w:font>
  <w:font w:name="方正楷体_GBK">
    <w:panose1 w:val="02000000000000000000"/>
    <w:charset w:val="86"/>
    <w:family w:val="auto"/>
    <w:pitch w:val="default"/>
    <w:sig w:usb0="800002BF" w:usb1="38CF7CFA" w:usb2="00000016" w:usb3="00000000" w:csb0="00040000" w:csb1="00000000"/>
    <w:embedRegular r:id="rId3" w:fontKey="{619EB38F-212F-4EEA-B425-18A70BD21A99}"/>
  </w:font>
  <w:font w:name="方正黑体_GBK">
    <w:altName w:val="微软雅黑"/>
    <w:panose1 w:val="03000509000000000000"/>
    <w:charset w:val="86"/>
    <w:family w:val="auto"/>
    <w:pitch w:val="default"/>
    <w:sig w:usb0="00000000" w:usb1="00000000" w:usb2="00000000" w:usb3="00000000" w:csb0="00040000" w:csb1="00000000"/>
    <w:embedRegular r:id="rId4" w:fontKey="{B3CADD2E-7270-426A-AF79-3743371D598A}"/>
  </w:font>
  <w:font w:name="方正仿宋_GBK">
    <w:altName w:val="微软雅黑"/>
    <w:panose1 w:val="03000509000000000000"/>
    <w:charset w:val="86"/>
    <w:family w:val="auto"/>
    <w:pitch w:val="default"/>
    <w:sig w:usb0="00000000" w:usb1="00000000" w:usb2="00000000" w:usb3="00000000" w:csb0="00040000" w:csb1="00000000"/>
    <w:embedRegular r:id="rId5" w:fontKey="{37D9B400-C70C-41C9-8794-925FABC8ACA7}"/>
  </w:font>
  <w:font w:name="仿宋">
    <w:panose1 w:val="02010609060101010101"/>
    <w:charset w:val="86"/>
    <w:family w:val="auto"/>
    <w:pitch w:val="default"/>
    <w:sig w:usb0="800002BF" w:usb1="38CF7CFA" w:usb2="00000016" w:usb3="00000000" w:csb0="00040001" w:csb1="00000000"/>
    <w:embedRegular r:id="rId6" w:fontKey="{DAAB1ED8-B43D-4958-9366-8838011EE3D7}"/>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24BB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0A019">
                          <w:pPr>
                            <w:pStyle w:val="3"/>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D00A019">
                    <w:pPr>
                      <w:pStyle w:val="3"/>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D28A97"/>
    <w:multiLevelType w:val="singleLevel"/>
    <w:tmpl w:val="B8D28A97"/>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4ZjZiZWY4ODg1NjUzYjc5NjA0ZTA2ZTJkZmQ5MjkifQ=="/>
  </w:docVars>
  <w:rsids>
    <w:rsidRoot w:val="37B42881"/>
    <w:rsid w:val="12223C77"/>
    <w:rsid w:val="17EA7655"/>
    <w:rsid w:val="265C2D8B"/>
    <w:rsid w:val="2BAC3E96"/>
    <w:rsid w:val="32FD37CA"/>
    <w:rsid w:val="37B42881"/>
    <w:rsid w:val="39D74BC4"/>
    <w:rsid w:val="57C50243"/>
    <w:rsid w:val="6D000C57"/>
    <w:rsid w:val="6FA71ADD"/>
    <w:rsid w:val="715723D2"/>
    <w:rsid w:val="72422910"/>
    <w:rsid w:val="745B53CA"/>
    <w:rsid w:val="78DF2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Lines="50" w:line="0" w:lineRule="atLeast"/>
      <w:ind w:firstLine="200" w:firstLineChars="200"/>
      <w:outlineLvl w:val="1"/>
    </w:pPr>
    <w:rPr>
      <w:rFonts w:ascii="Arial" w:hAnsi="Arial" w:eastAsia="黑体"/>
      <w:b/>
      <w:bCs/>
      <w:kern w:val="0"/>
      <w:sz w:val="24"/>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标题1"/>
    <w:basedOn w:val="9"/>
    <w:next w:val="9"/>
    <w:qFormat/>
    <w:uiPriority w:val="0"/>
    <w:pPr>
      <w:spacing w:line="480" w:lineRule="auto"/>
      <w:ind w:firstLine="0" w:firstLineChars="0"/>
      <w:outlineLvl w:val="0"/>
    </w:pPr>
    <w:rPr>
      <w:rFonts w:eastAsia="宋体"/>
      <w:b/>
      <w:sz w:val="44"/>
    </w:rPr>
  </w:style>
  <w:style w:type="paragraph" w:customStyle="1" w:styleId="9">
    <w:name w:val="5正文"/>
    <w:basedOn w:val="1"/>
    <w:qFormat/>
    <w:uiPriority w:val="0"/>
    <w:pPr>
      <w:spacing w:line="360" w:lineRule="auto"/>
    </w:pPr>
    <w:rPr>
      <w:rFonts w:ascii="Calibri" w:hAnsi="Calibri"/>
      <w:bCs/>
      <w:snapToGrid w:val="0"/>
      <w:kern w:val="0"/>
      <w:szCs w:val="24"/>
    </w:rPr>
  </w:style>
  <w:style w:type="paragraph" w:customStyle="1" w:styleId="10">
    <w:name w:val="标题2"/>
    <w:basedOn w:val="8"/>
    <w:qFormat/>
    <w:uiPriority w:val="0"/>
    <w:pPr>
      <w:outlineLvl w:val="1"/>
    </w:pPr>
    <w:rPr>
      <w:sz w:val="32"/>
    </w:rPr>
  </w:style>
  <w:style w:type="paragraph" w:customStyle="1" w:styleId="11">
    <w:name w:val="标题3（新）"/>
    <w:basedOn w:val="1"/>
    <w:qFormat/>
    <w:uiPriority w:val="0"/>
    <w:pPr>
      <w:ind w:firstLine="0" w:firstLineChars="0"/>
      <w:outlineLvl w:val="2"/>
    </w:pPr>
    <w:rPr>
      <w:rFonts w:eastAsia="黑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6664</Words>
  <Characters>7545</Characters>
  <Lines>0</Lines>
  <Paragraphs>0</Paragraphs>
  <TotalTime>58</TotalTime>
  <ScaleCrop>false</ScaleCrop>
  <LinksUpToDate>false</LinksUpToDate>
  <CharactersWithSpaces>7578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2024-05-10T06:48:00Z</dcterms:created>
  <dc:creator>Administrator</dc:creator>
  <cp:lastModifiedBy>WPS_1525332042</cp:lastModifiedBy>
  <dcterms:modified xsi:type="dcterms:W3CDTF">2024-12-21T10:20:23Z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BE425076D13C428C8F4279B3CDF64364_13</vt:lpwstr>
  </property>
</Properties>
</file>