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BB175">
      <w:pPr>
        <w:spacing w:line="500" w:lineRule="exact"/>
        <w:jc w:val="center"/>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云南成品油管道昆明支线改线工程临时用地土地复垦方案</w:t>
      </w:r>
      <w:r>
        <w:rPr>
          <w:rFonts w:hint="eastAsia" w:ascii="方正黑体_GBK" w:hAnsi="方正黑体_GBK" w:eastAsia="方正黑体_GBK" w:cs="方正黑体_GBK"/>
          <w:b w:val="0"/>
          <w:bCs w:val="0"/>
          <w:color w:val="auto"/>
          <w:sz w:val="32"/>
          <w:szCs w:val="32"/>
          <w:highlight w:val="none"/>
          <w:lang w:eastAsia="zh-CN"/>
        </w:rPr>
        <w:t>专家组评审意见</w:t>
      </w:r>
    </w:p>
    <w:tbl>
      <w:tblPr>
        <w:tblStyle w:val="2"/>
        <w:tblW w:w="91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4"/>
        <w:gridCol w:w="1606"/>
        <w:gridCol w:w="2552"/>
        <w:gridCol w:w="4156"/>
      </w:tblGrid>
      <w:tr w14:paraId="0CD29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29A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建设项目名称</w:t>
            </w:r>
          </w:p>
        </w:tc>
        <w:tc>
          <w:tcPr>
            <w:tcW w:w="67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264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云南成品油管道昆明支线改线工程临时用地</w:t>
            </w:r>
          </w:p>
          <w:p w14:paraId="78A8DC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土地复垦</w:t>
            </w:r>
          </w:p>
        </w:tc>
      </w:tr>
      <w:tr w14:paraId="7C037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B3267">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center"/>
              <w:textAlignment w:val="top"/>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建设单位名称</w:t>
            </w:r>
          </w:p>
        </w:tc>
        <w:tc>
          <w:tcPr>
            <w:tcW w:w="67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5EF8B">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center"/>
              <w:textAlignment w:val="top"/>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国家管网集团西南管道有限责任公司昆明输油气分公司</w:t>
            </w:r>
          </w:p>
        </w:tc>
      </w:tr>
      <w:tr w14:paraId="6C677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EFE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编制单位名称</w:t>
            </w:r>
          </w:p>
        </w:tc>
        <w:tc>
          <w:tcPr>
            <w:tcW w:w="67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92EE5">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center"/>
              <w:textAlignment w:val="top"/>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云南坤舆测绘科技有限公司</w:t>
            </w:r>
          </w:p>
        </w:tc>
      </w:tr>
      <w:tr w14:paraId="140DD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05B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项目用地面积</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1D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永久性建设用地</w:t>
            </w:r>
          </w:p>
        </w:tc>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67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0公顷</w:t>
            </w:r>
          </w:p>
        </w:tc>
      </w:tr>
      <w:tr w14:paraId="39C67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BA775">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kern w:val="2"/>
                <w:sz w:val="24"/>
                <w:szCs w:val="24"/>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20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val="en-US" w:eastAsia="zh-CN" w:bidi="ar-SA"/>
              </w:rPr>
              <w:t>占用面积</w:t>
            </w:r>
          </w:p>
        </w:tc>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2B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val="en-US" w:eastAsia="zh-CN" w:bidi="ar-SA"/>
              </w:rPr>
              <w:t>0公顷</w:t>
            </w:r>
          </w:p>
        </w:tc>
      </w:tr>
      <w:tr w14:paraId="24869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0516C">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kern w:val="2"/>
                <w:sz w:val="24"/>
                <w:szCs w:val="24"/>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5E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val="en-US" w:eastAsia="zh-CN" w:bidi="ar-SA"/>
              </w:rPr>
              <w:t>拟损毁土地面积</w:t>
            </w:r>
          </w:p>
        </w:tc>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54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val="en-US" w:eastAsia="zh-CN" w:bidi="ar-SA"/>
              </w:rPr>
              <w:t>5.2245公顷</w:t>
            </w:r>
          </w:p>
        </w:tc>
      </w:tr>
      <w:tr w14:paraId="47752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4A28A">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center"/>
              <w:textAlignment w:val="top"/>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val="en-US" w:eastAsia="zh-CN" w:bidi="ar-SA"/>
              </w:rPr>
              <w:t>生产能力（或投资规模）</w:t>
            </w:r>
          </w:p>
        </w:tc>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E0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val="en-US" w:eastAsia="zh-CN" w:bidi="ar-SA"/>
              </w:rPr>
              <w:t>4299万元</w:t>
            </w:r>
          </w:p>
        </w:tc>
      </w:tr>
      <w:tr w14:paraId="0C375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8DC8C9">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center"/>
              <w:textAlignment w:val="top"/>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val="en-US" w:eastAsia="zh-CN" w:bidi="ar-SA"/>
              </w:rPr>
              <w:t>生产年限（或建设期限）</w:t>
            </w:r>
          </w:p>
        </w:tc>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36C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kern w:val="2"/>
                <w:sz w:val="24"/>
                <w:szCs w:val="24"/>
                <w:lang w:val="en-US" w:eastAsia="zh-CN" w:bidi="ar-SA"/>
              </w:rPr>
              <w:t>（2024年1月-2024年06月）</w:t>
            </w:r>
          </w:p>
        </w:tc>
      </w:tr>
      <w:tr w14:paraId="7B67F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3DE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b/>
                <w:bCs/>
                <w:i w:val="0"/>
                <w:iCs w:val="0"/>
                <w:color w:val="000000"/>
                <w:kern w:val="0"/>
                <w:sz w:val="24"/>
                <w:szCs w:val="24"/>
                <w:u w:val="none"/>
                <w:lang w:val="en-US" w:eastAsia="zh-CN" w:bidi="ar"/>
              </w:rPr>
            </w:pPr>
            <w:r>
              <w:rPr>
                <w:rFonts w:hint="default" w:ascii="Times New Roman" w:hAnsi="Times New Roman" w:eastAsia="方正仿宋_GBK" w:cs="Times New Roman"/>
                <w:b/>
                <w:bCs/>
                <w:i w:val="0"/>
                <w:iCs w:val="0"/>
                <w:color w:val="000000"/>
                <w:kern w:val="0"/>
                <w:sz w:val="24"/>
                <w:szCs w:val="24"/>
                <w:u w:val="none"/>
                <w:lang w:val="en-US" w:eastAsia="zh-CN" w:bidi="ar"/>
              </w:rPr>
              <w:t>专</w:t>
            </w:r>
            <w:r>
              <w:rPr>
                <w:rFonts w:hint="default" w:ascii="Times New Roman" w:hAnsi="Times New Roman" w:eastAsia="方正仿宋_GBK" w:cs="Times New Roman"/>
                <w:b/>
                <w:bCs/>
                <w:i w:val="0"/>
                <w:iCs w:val="0"/>
                <w:color w:val="000000"/>
                <w:kern w:val="0"/>
                <w:sz w:val="24"/>
                <w:szCs w:val="24"/>
                <w:u w:val="none"/>
                <w:lang w:val="en-US" w:eastAsia="zh-CN" w:bidi="ar"/>
              </w:rPr>
              <w:br w:type="textWrapping"/>
            </w:r>
          </w:p>
          <w:p w14:paraId="11A835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b/>
                <w:bCs/>
                <w:i w:val="0"/>
                <w:iCs w:val="0"/>
                <w:color w:val="000000"/>
                <w:kern w:val="0"/>
                <w:sz w:val="24"/>
                <w:szCs w:val="24"/>
                <w:u w:val="none"/>
                <w:lang w:val="en-US" w:eastAsia="zh-CN" w:bidi="ar"/>
              </w:rPr>
            </w:pPr>
            <w:r>
              <w:rPr>
                <w:rFonts w:hint="default" w:ascii="Times New Roman" w:hAnsi="Times New Roman" w:eastAsia="方正仿宋_GBK" w:cs="Times New Roman"/>
                <w:b/>
                <w:bCs/>
                <w:i w:val="0"/>
                <w:iCs w:val="0"/>
                <w:color w:val="000000"/>
                <w:kern w:val="0"/>
                <w:sz w:val="24"/>
                <w:szCs w:val="24"/>
                <w:u w:val="none"/>
                <w:lang w:val="en-US" w:eastAsia="zh-CN" w:bidi="ar"/>
              </w:rPr>
              <w:t>家</w:t>
            </w:r>
          </w:p>
          <w:p w14:paraId="322BC01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b/>
                <w:bCs/>
                <w:i w:val="0"/>
                <w:iCs w:val="0"/>
                <w:color w:val="000000"/>
                <w:kern w:val="0"/>
                <w:sz w:val="24"/>
                <w:szCs w:val="24"/>
                <w:u w:val="none"/>
                <w:lang w:val="en-US" w:eastAsia="zh-CN" w:bidi="ar"/>
              </w:rPr>
            </w:pPr>
            <w:r>
              <w:rPr>
                <w:rFonts w:hint="default" w:ascii="Times New Roman" w:hAnsi="Times New Roman" w:eastAsia="方正仿宋_GBK" w:cs="Times New Roman"/>
                <w:b/>
                <w:bCs/>
                <w:i w:val="0"/>
                <w:iCs w:val="0"/>
                <w:color w:val="000000"/>
                <w:kern w:val="0"/>
                <w:sz w:val="24"/>
                <w:szCs w:val="24"/>
                <w:u w:val="none"/>
                <w:lang w:val="en-US" w:eastAsia="zh-CN" w:bidi="ar"/>
              </w:rPr>
              <w:br w:type="textWrapping"/>
            </w:r>
            <w:r>
              <w:rPr>
                <w:rFonts w:hint="default" w:ascii="Times New Roman" w:hAnsi="Times New Roman" w:eastAsia="方正仿宋_GBK" w:cs="Times New Roman"/>
                <w:b/>
                <w:bCs/>
                <w:i w:val="0"/>
                <w:iCs w:val="0"/>
                <w:color w:val="000000"/>
                <w:kern w:val="0"/>
                <w:sz w:val="24"/>
                <w:szCs w:val="24"/>
                <w:u w:val="none"/>
                <w:lang w:val="en-US" w:eastAsia="zh-CN" w:bidi="ar"/>
              </w:rPr>
              <w:t>评</w:t>
            </w:r>
          </w:p>
          <w:p w14:paraId="323B79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b/>
                <w:bCs/>
                <w:i w:val="0"/>
                <w:iCs w:val="0"/>
                <w:color w:val="000000"/>
                <w:kern w:val="0"/>
                <w:sz w:val="24"/>
                <w:szCs w:val="24"/>
                <w:u w:val="none"/>
                <w:lang w:val="en-US" w:eastAsia="zh-CN" w:bidi="ar"/>
              </w:rPr>
            </w:pPr>
            <w:r>
              <w:rPr>
                <w:rFonts w:hint="default" w:ascii="Times New Roman" w:hAnsi="Times New Roman" w:eastAsia="方正仿宋_GBK" w:cs="Times New Roman"/>
                <w:b/>
                <w:bCs/>
                <w:i w:val="0"/>
                <w:iCs w:val="0"/>
                <w:color w:val="000000"/>
                <w:kern w:val="0"/>
                <w:sz w:val="24"/>
                <w:szCs w:val="24"/>
                <w:u w:val="none"/>
                <w:lang w:val="en-US" w:eastAsia="zh-CN" w:bidi="ar"/>
              </w:rPr>
              <w:br w:type="textWrapping"/>
            </w:r>
            <w:r>
              <w:rPr>
                <w:rFonts w:hint="default" w:ascii="Times New Roman" w:hAnsi="Times New Roman" w:eastAsia="方正仿宋_GBK" w:cs="Times New Roman"/>
                <w:b/>
                <w:bCs/>
                <w:i w:val="0"/>
                <w:iCs w:val="0"/>
                <w:color w:val="000000"/>
                <w:kern w:val="0"/>
                <w:sz w:val="24"/>
                <w:szCs w:val="24"/>
                <w:u w:val="none"/>
                <w:lang w:val="en-US" w:eastAsia="zh-CN" w:bidi="ar"/>
              </w:rPr>
              <w:t>审</w:t>
            </w:r>
          </w:p>
          <w:p w14:paraId="181807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b/>
                <w:bCs/>
                <w:i w:val="0"/>
                <w:iCs w:val="0"/>
                <w:color w:val="000000"/>
                <w:kern w:val="0"/>
                <w:sz w:val="24"/>
                <w:szCs w:val="24"/>
                <w:u w:val="none"/>
                <w:lang w:val="en-US" w:eastAsia="zh-CN" w:bidi="ar"/>
              </w:rPr>
            </w:pPr>
            <w:r>
              <w:rPr>
                <w:rFonts w:hint="default" w:ascii="Times New Roman" w:hAnsi="Times New Roman" w:eastAsia="方正仿宋_GBK" w:cs="Times New Roman"/>
                <w:b/>
                <w:bCs/>
                <w:i w:val="0"/>
                <w:iCs w:val="0"/>
                <w:color w:val="000000"/>
                <w:kern w:val="0"/>
                <w:sz w:val="24"/>
                <w:szCs w:val="24"/>
                <w:u w:val="none"/>
                <w:lang w:val="en-US" w:eastAsia="zh-CN" w:bidi="ar"/>
              </w:rPr>
              <w:br w:type="textWrapping"/>
            </w:r>
            <w:r>
              <w:rPr>
                <w:rFonts w:hint="default" w:ascii="Times New Roman" w:hAnsi="Times New Roman" w:eastAsia="方正仿宋_GBK" w:cs="Times New Roman"/>
                <w:b/>
                <w:bCs/>
                <w:i w:val="0"/>
                <w:iCs w:val="0"/>
                <w:color w:val="000000"/>
                <w:kern w:val="0"/>
                <w:sz w:val="24"/>
                <w:szCs w:val="24"/>
                <w:u w:val="none"/>
                <w:lang w:val="en-US" w:eastAsia="zh-CN" w:bidi="ar"/>
              </w:rPr>
              <w:t>结</w:t>
            </w:r>
          </w:p>
          <w:p w14:paraId="05E088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b/>
                <w:bCs/>
                <w:i w:val="0"/>
                <w:iCs w:val="0"/>
                <w:color w:val="000000"/>
                <w:kern w:val="0"/>
                <w:sz w:val="24"/>
                <w:szCs w:val="24"/>
                <w:u w:val="none"/>
                <w:lang w:val="en-US" w:eastAsia="zh-CN" w:bidi="ar"/>
              </w:rPr>
            </w:pPr>
          </w:p>
          <w:p w14:paraId="5923D4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br w:type="textWrapping"/>
            </w:r>
            <w:r>
              <w:rPr>
                <w:rFonts w:hint="default" w:ascii="Times New Roman" w:hAnsi="Times New Roman" w:eastAsia="方正仿宋_GBK" w:cs="Times New Roman"/>
                <w:b/>
                <w:bCs/>
                <w:i w:val="0"/>
                <w:iCs w:val="0"/>
                <w:color w:val="000000"/>
                <w:kern w:val="0"/>
                <w:sz w:val="24"/>
                <w:szCs w:val="24"/>
                <w:u w:val="none"/>
                <w:lang w:val="en-US" w:eastAsia="zh-CN" w:bidi="ar"/>
              </w:rPr>
              <w:t>论</w:t>
            </w:r>
          </w:p>
        </w:tc>
        <w:tc>
          <w:tcPr>
            <w:tcW w:w="831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6E25518">
            <w:pPr>
              <w:keepNext w:val="0"/>
              <w:keepLines/>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 xml:space="preserve">     根据《土地复垦条例》（国务院 592 号令）《土地复垦条例实施办法》《土地复垦质量控标准》及土地开发整理工程建设标准和土地复垦相关规程。2024 年1 月 17 日，云南滇中新区自然资源和规划局组织有关专家对云南坤舆测绘科技有限公司编制的“云南成品油管道昆明支线改线工程临时用地土地复垦方案”进行了评审，形成如下评审意见：</w:t>
            </w:r>
          </w:p>
          <w:p w14:paraId="3D653C26">
            <w:pPr>
              <w:keepNext w:val="0"/>
              <w:keepLines/>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一、本土地复垦方案报告书编制符合土地复垦相关规程要求</w:t>
            </w:r>
            <w:r>
              <w:rPr>
                <w:rFonts w:hint="eastAsia"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lang w:val="en-US" w:eastAsia="zh-CN"/>
              </w:rPr>
              <w:t>提出的土地复垦措施基本可行</w:t>
            </w:r>
            <w:r>
              <w:rPr>
                <w:rFonts w:hint="eastAsia"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lang w:val="en-US" w:eastAsia="zh-CN"/>
              </w:rPr>
              <w:t>复垦费用估算基本合理。</w:t>
            </w:r>
          </w:p>
          <w:p w14:paraId="29FE0618">
            <w:pPr>
              <w:keepNext w:val="0"/>
              <w:keepLines/>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二、云南成品油管道昆明支线改线工程临时用地位于昆明市官渡区长水街道，项目区、占地总面积5.2245公顷,复垦区面积为5.2245公顷</w:t>
            </w:r>
            <w:r>
              <w:rPr>
                <w:rFonts w:hint="eastAsia"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lang w:val="en-US" w:eastAsia="zh-CN"/>
              </w:rPr>
              <w:t>本项目拟损毁耕地0.3449公顷、林地面积占4.4406公顷、果园0.2770公顷、交通运输用地0.0814公顷、水利设施用地0.0089公顷、其他上地面积为0.0717公顷。本项目土地复垦方案服务年限为4年从2024年1月-2027年12</w:t>
            </w:r>
            <w:r>
              <w:rPr>
                <w:rFonts w:hint="eastAsia" w:ascii="Times New Roman" w:hAnsi="Times New Roman" w:eastAsia="方正仿宋_GBK" w:cs="Times New Roman"/>
                <w:sz w:val="24"/>
                <w:szCs w:val="24"/>
                <w:lang w:val="en-US" w:eastAsia="zh-CN"/>
              </w:rPr>
              <w:t>月</w:t>
            </w:r>
            <w:r>
              <w:rPr>
                <w:rFonts w:hint="default" w:ascii="Times New Roman" w:hAnsi="Times New Roman" w:eastAsia="方正仿宋_GBK" w:cs="Times New Roman"/>
                <w:sz w:val="24"/>
                <w:szCs w:val="24"/>
                <w:lang w:val="en-US" w:eastAsia="zh-CN"/>
              </w:rPr>
              <w:t>。</w:t>
            </w:r>
          </w:p>
          <w:p w14:paraId="595D5E34">
            <w:pPr>
              <w:keepNext w:val="0"/>
              <w:keepLines w:val="0"/>
              <w:pageBreakBefore w:val="0"/>
              <w:kinsoku/>
              <w:wordWrap/>
              <w:overflowPunct/>
              <w:topLinePunct w:val="0"/>
              <w:autoSpaceDE/>
              <w:autoSpaceDN/>
              <w:bidi w:val="0"/>
              <w:adjustRightInd/>
              <w:snapToGrid/>
              <w:spacing w:line="560" w:lineRule="exact"/>
              <w:ind w:firstLine="480" w:firstLineChars="200"/>
              <w:jc w:val="left"/>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三、实施过程中必须严格按照《土地复垦条例》</w:t>
            </w:r>
            <w:bookmarkStart w:id="0" w:name="_GoBack"/>
            <w:bookmarkEnd w:id="0"/>
            <w:r>
              <w:rPr>
                <w:rFonts w:hint="eastAsia" w:ascii="Times New Roman" w:hAnsi="Times New Roman" w:eastAsia="方正仿宋_GBK" w:cs="Times New Roman"/>
                <w:sz w:val="24"/>
                <w:szCs w:val="24"/>
                <w:lang w:val="en-US" w:eastAsia="zh-CN"/>
              </w:rPr>
              <w:t>《中华人民共和国土地管理法》</w:t>
            </w:r>
            <w:r>
              <w:rPr>
                <w:rFonts w:hint="default" w:ascii="Times New Roman" w:hAnsi="Times New Roman" w:eastAsia="方正仿宋_GBK" w:cs="Times New Roman"/>
                <w:sz w:val="24"/>
                <w:szCs w:val="24"/>
                <w:lang w:val="en-US" w:eastAsia="zh-CN"/>
              </w:rPr>
              <w:t>等相关国家法律法规规定进行表土剥离和集中堆放，同时需严格按照国家临时用地管理的相关规定，在批准范围内使用临时用地，并加强对耕地、林地的保护，不经批准，不得随意占用、损毁耕地和林地等作为临时用地。</w:t>
            </w:r>
          </w:p>
          <w:p w14:paraId="715360E7">
            <w:pPr>
              <w:keepNext w:val="0"/>
              <w:keepLines w:val="0"/>
              <w:pageBreakBefore w:val="0"/>
              <w:kinsoku/>
              <w:wordWrap/>
              <w:overflowPunct/>
              <w:topLinePunct w:val="0"/>
              <w:autoSpaceDE/>
              <w:autoSpaceDN/>
              <w:bidi w:val="0"/>
              <w:adjustRightInd/>
              <w:snapToGrid/>
              <w:spacing w:line="560" w:lineRule="exact"/>
              <w:ind w:firstLine="480" w:firstLineChars="200"/>
              <w:jc w:val="both"/>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四、原则同意本方案制定的复垦目标和任务，本项目共复垦土地面积5.2245公顷，其中早地0.3494公项、果园0.2816公顷、乔木林地0.7376公项、其他草地3.6881公顷、交通运输用地0.0814公顷、水利设施用地0.0089公顷、田坎0.0775公顷，复率为100%。</w:t>
            </w:r>
          </w:p>
          <w:p w14:paraId="2BE0AF6E">
            <w:pPr>
              <w:keepNext w:val="0"/>
              <w:keepLines w:val="0"/>
              <w:pageBreakBefore w:val="0"/>
              <w:kinsoku/>
              <w:wordWrap/>
              <w:overflowPunct/>
              <w:topLinePunct w:val="0"/>
              <w:autoSpaceDE/>
              <w:autoSpaceDN/>
              <w:bidi w:val="0"/>
              <w:adjustRightInd/>
              <w:snapToGrid/>
              <w:spacing w:line="560" w:lineRule="exact"/>
              <w:ind w:firstLine="480" w:firstLineChars="200"/>
              <w:jc w:val="left"/>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五、项目建设单位必须根据实际损毁土地情况、采取必要的复垦工程措施，严格履行复垦承诺，确保土地复垦工作落实到位，复垦后的耕类质量等级高于或等于损毁前的地类等级。</w:t>
            </w:r>
          </w:p>
          <w:p w14:paraId="3EC74331">
            <w:pPr>
              <w:keepNext w:val="0"/>
              <w:keepLines w:val="0"/>
              <w:pageBreakBefore w:val="0"/>
              <w:kinsoku/>
              <w:wordWrap/>
              <w:overflowPunct/>
              <w:topLinePunct w:val="0"/>
              <w:autoSpaceDE/>
              <w:autoSpaceDN/>
              <w:bidi w:val="0"/>
              <w:adjustRightInd/>
              <w:snapToGrid/>
              <w:spacing w:line="560" w:lineRule="exact"/>
              <w:ind w:firstLine="480" w:firstLineChars="200"/>
              <w:jc w:val="left"/>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综上所述，该复垦方案的编制基本符合有关文件及土地复垦的技术规范、标准的要求，相关分析及损毁土地预测，复垦工程措施基本合理、可行。专家组原则同意通过评审，编制单位已按照专家提出的修改意见进行了修改完善，并按照规定存储了土地复垦费，可按照规定程序上报备案但在临时用地使用过程中需进一步加强和完善相关措施，采取有效的预防措施防止水土流失及新的土地损毁。同时，各种建设活动应严格控制在征地及批准的临时用地范围内，并做好土壤和植被的保护措施，生产过程中的固体废弃物要及时处理:必须严格按照土地管理法及土地复垦条例的相关要求对临时用地区进行表土及耕作层剥离和集中堆放</w:t>
            </w:r>
            <w:r>
              <w:rPr>
                <w:rFonts w:hint="eastAsia"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lang w:val="en-US" w:eastAsia="zh-CN"/>
              </w:rPr>
              <w:t>应加强对生产生活产生的污水等方面的管理，防止粉尘、油污和水土流失对周边村庄及农田的污染和土地损毁。业主单位应明确复垦责任人，确保措施落实，使复垦后的各种地类标准不得低于原有地类的等级，并满足国家《土地复垦质量控制标准》的相关要求，保障项目区周边群众的合法利益不受侵害，达到土地复垦方案制定的任务目标要求。在实施过程中应接受各级自然资源管理部门的监督和检查。复垦区所在地自然资源部门应加强对复垦工作的监督管理，确保复垦措施和复垦责任的落实。项目临时用地时间、性质、规模、地点、范围或用途等发生变化，需按相关规定和要求重新组织编报土地复垦方案或对原土地复垦方案进行修订，报原审查单位审查并备案。此意见仅为复垦方案编制审查意见，不能代替临时用地的审批，业主到位需及时办理临时用地的手续。</w:t>
            </w:r>
          </w:p>
          <w:p w14:paraId="1FFC2C48">
            <w:pPr>
              <w:keepNext w:val="0"/>
              <w:keepLines w:val="0"/>
              <w:pageBreakBefore w:val="0"/>
              <w:kinsoku/>
              <w:wordWrap/>
              <w:overflowPunct/>
              <w:topLinePunct w:val="0"/>
              <w:autoSpaceDE/>
              <w:autoSpaceDN/>
              <w:bidi w:val="0"/>
              <w:adjustRightInd/>
              <w:snapToGrid/>
              <w:spacing w:line="560" w:lineRule="exact"/>
              <w:ind w:firstLine="0" w:firstLineChars="0"/>
              <w:jc w:val="left"/>
              <w:rPr>
                <w:rFonts w:hint="default" w:ascii="Times New Roman" w:hAnsi="Times New Roman" w:eastAsia="方正仿宋_GBK" w:cs="Times New Roman"/>
                <w:sz w:val="24"/>
                <w:szCs w:val="24"/>
                <w:lang w:val="en-US" w:eastAsia="zh-CN"/>
              </w:rPr>
            </w:pPr>
          </w:p>
          <w:p w14:paraId="0AE58C49">
            <w:pPr>
              <w:keepNext w:val="0"/>
              <w:keepLines w:val="0"/>
              <w:pageBreakBefore w:val="0"/>
              <w:kinsoku/>
              <w:wordWrap/>
              <w:overflowPunct/>
              <w:topLinePunct w:val="0"/>
              <w:autoSpaceDE/>
              <w:autoSpaceDN/>
              <w:bidi w:val="0"/>
              <w:adjustRightInd/>
              <w:snapToGrid/>
              <w:spacing w:line="560" w:lineRule="exact"/>
              <w:ind w:firstLine="0" w:firstLineChars="0"/>
              <w:jc w:val="left"/>
              <w:rPr>
                <w:rFonts w:hint="default" w:ascii="Times New Roman" w:hAnsi="Times New Roman" w:eastAsia="方正仿宋_GBK" w:cs="Times New Roman"/>
                <w:sz w:val="24"/>
                <w:szCs w:val="24"/>
                <w:lang w:val="en-US" w:eastAsia="zh-CN"/>
              </w:rPr>
            </w:pPr>
          </w:p>
          <w:p w14:paraId="03E4F9D7">
            <w:pPr>
              <w:keepNext w:val="0"/>
              <w:keepLines w:val="0"/>
              <w:pageBreakBefore w:val="0"/>
              <w:kinsoku/>
              <w:wordWrap/>
              <w:overflowPunct/>
              <w:topLinePunct w:val="0"/>
              <w:autoSpaceDE/>
              <w:autoSpaceDN/>
              <w:bidi w:val="0"/>
              <w:adjustRightInd/>
              <w:snapToGrid/>
              <w:spacing w:line="560" w:lineRule="exact"/>
              <w:ind w:firstLine="0" w:firstLineChars="0"/>
              <w:jc w:val="left"/>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专家组长签名：章正军</w:t>
            </w:r>
          </w:p>
          <w:p w14:paraId="5080AE2B">
            <w:pPr>
              <w:keepNext w:val="0"/>
              <w:keepLines w:val="0"/>
              <w:pageBreakBefore w:val="0"/>
              <w:kinsoku/>
              <w:wordWrap/>
              <w:overflowPunct/>
              <w:topLinePunct w:val="0"/>
              <w:autoSpaceDE/>
              <w:autoSpaceDN/>
              <w:bidi w:val="0"/>
              <w:adjustRightInd/>
              <w:snapToGrid/>
              <w:spacing w:line="560" w:lineRule="exact"/>
              <w:ind w:firstLine="0" w:firstLineChars="0"/>
              <w:jc w:val="right"/>
              <w:rPr>
                <w:rStyle w:val="4"/>
                <w:rFonts w:hint="default" w:ascii="Times New Roman" w:hAnsi="Times New Roman" w:eastAsia="方正仿宋_GBK" w:cs="Times New Roman"/>
                <w:i w:val="0"/>
                <w:iCs w:val="0"/>
                <w:color w:val="000000"/>
                <w:sz w:val="24"/>
                <w:szCs w:val="24"/>
                <w:lang w:val="en-US" w:eastAsia="zh-CN" w:bidi="ar"/>
              </w:rPr>
            </w:pPr>
            <w:r>
              <w:rPr>
                <w:rFonts w:hint="default" w:ascii="Times New Roman" w:hAnsi="Times New Roman" w:eastAsia="方正仿宋_GBK" w:cs="Times New Roman"/>
                <w:sz w:val="24"/>
                <w:szCs w:val="24"/>
                <w:lang w:val="en-US" w:eastAsia="zh-CN"/>
              </w:rPr>
              <w:t xml:space="preserve">2024年02月20日         </w:t>
            </w:r>
          </w:p>
        </w:tc>
      </w:tr>
      <w:tr w14:paraId="0436F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D6BCA">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c>
          <w:tcPr>
            <w:tcW w:w="83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8350A6">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r>
      <w:tr w14:paraId="11345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3C9ED">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c>
          <w:tcPr>
            <w:tcW w:w="83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B3A06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r>
      <w:tr w14:paraId="3FF1B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6250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c>
          <w:tcPr>
            <w:tcW w:w="83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2EBE35">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r>
      <w:tr w14:paraId="2DA9D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0E162">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c>
          <w:tcPr>
            <w:tcW w:w="83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7244426">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r>
      <w:tr w14:paraId="2CD97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7" w:hRule="atLeast"/>
          <w:jc w:val="center"/>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CC768">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c>
          <w:tcPr>
            <w:tcW w:w="83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4D58CD">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r>
      <w:tr w14:paraId="5F79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5" w:hRule="atLeast"/>
          <w:jc w:val="center"/>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E8CD2">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c>
          <w:tcPr>
            <w:tcW w:w="83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73FC6A">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r>
      <w:tr w14:paraId="239D3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45E58">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c>
          <w:tcPr>
            <w:tcW w:w="83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1B8648">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_GBK" w:cs="Times New Roman"/>
                <w:i w:val="0"/>
                <w:iCs w:val="0"/>
                <w:color w:val="000000"/>
                <w:sz w:val="24"/>
                <w:szCs w:val="24"/>
                <w:u w:val="none"/>
              </w:rPr>
            </w:pPr>
          </w:p>
        </w:tc>
      </w:tr>
    </w:tbl>
    <w:p w14:paraId="0862D026">
      <w:pPr>
        <w:spacing w:line="500" w:lineRule="exact"/>
        <w:jc w:val="center"/>
      </w:pPr>
    </w:p>
    <w:p w14:paraId="69D32D82">
      <w:pPr>
        <w:spacing w:line="500" w:lineRule="exact"/>
        <w:jc w:val="center"/>
      </w:pPr>
    </w:p>
    <w:p w14:paraId="45366F44">
      <w:pPr>
        <w:spacing w:line="500" w:lineRule="exact"/>
        <w:jc w:val="center"/>
      </w:pPr>
    </w:p>
    <w:p w14:paraId="4A1D383E">
      <w:pPr>
        <w:spacing w:line="500" w:lineRule="exact"/>
        <w:jc w:val="center"/>
        <w:sectPr>
          <w:pgSz w:w="11906" w:h="16838"/>
          <w:pgMar w:top="1440" w:right="1800" w:bottom="1440" w:left="1800" w:header="851" w:footer="992" w:gutter="0"/>
          <w:cols w:space="425" w:num="1"/>
          <w:docGrid w:type="lines" w:linePitch="312" w:charSpace="0"/>
        </w:sectPr>
      </w:pPr>
    </w:p>
    <w:p w14:paraId="466FD740">
      <w:pPr>
        <w:spacing w:line="500" w:lineRule="exact"/>
        <w:jc w:val="center"/>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云南成品油管道昆明支线改线工程临时用地</w:t>
      </w:r>
      <w:r>
        <w:rPr>
          <w:rFonts w:hint="default" w:ascii="方正黑体_GBK" w:hAnsi="方正黑体_GBK" w:eastAsia="方正黑体_GBK" w:cs="方正黑体_GBK"/>
          <w:b w:val="0"/>
          <w:bCs w:val="0"/>
          <w:color w:val="auto"/>
          <w:sz w:val="32"/>
          <w:szCs w:val="32"/>
          <w:highlight w:val="none"/>
          <w:lang w:val="en-US" w:eastAsia="zh-CN"/>
        </w:rPr>
        <w:t>土地</w:t>
      </w:r>
      <w:r>
        <w:rPr>
          <w:rFonts w:hint="eastAsia" w:ascii="方正黑体_GBK" w:hAnsi="方正黑体_GBK" w:eastAsia="方正黑体_GBK" w:cs="方正黑体_GBK"/>
          <w:b w:val="0"/>
          <w:bCs w:val="0"/>
          <w:color w:val="auto"/>
          <w:sz w:val="32"/>
          <w:szCs w:val="32"/>
          <w:highlight w:val="none"/>
          <w:lang w:val="en-US" w:eastAsia="zh-CN"/>
        </w:rPr>
        <w:t>复垦方案</w:t>
      </w:r>
    </w:p>
    <w:p w14:paraId="3A4AACB3">
      <w:pPr>
        <w:spacing w:line="500" w:lineRule="exact"/>
        <w:jc w:val="center"/>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专家组名单</w:t>
      </w:r>
    </w:p>
    <w:tbl>
      <w:tblPr>
        <w:tblStyle w:val="2"/>
        <w:tblW w:w="87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2"/>
        <w:gridCol w:w="5093"/>
        <w:gridCol w:w="2520"/>
      </w:tblGrid>
      <w:tr w14:paraId="6D64A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07B8">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姓名</w:t>
            </w:r>
          </w:p>
        </w:tc>
        <w:tc>
          <w:tcPr>
            <w:tcW w:w="5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9F19">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工作单位</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1C99">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职务/职称</w:t>
            </w:r>
          </w:p>
        </w:tc>
      </w:tr>
      <w:tr w14:paraId="34D7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CE20">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章正军</w:t>
            </w:r>
          </w:p>
        </w:tc>
        <w:tc>
          <w:tcPr>
            <w:tcW w:w="5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8FCF">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云南省自然资源厅国土规划整理中心</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9AB0">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正高级工程师</w:t>
            </w:r>
          </w:p>
        </w:tc>
      </w:tr>
      <w:tr w14:paraId="1D35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A99D">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李建刚</w:t>
            </w:r>
          </w:p>
        </w:tc>
        <w:tc>
          <w:tcPr>
            <w:tcW w:w="5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A609">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昆明市国土规划勘察测绘设计研究院</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D368">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高级工程师</w:t>
            </w:r>
          </w:p>
        </w:tc>
      </w:tr>
      <w:tr w14:paraId="30447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4E31">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吴霞</w:t>
            </w:r>
          </w:p>
        </w:tc>
        <w:tc>
          <w:tcPr>
            <w:tcW w:w="5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E317">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云南省林业调查规划院</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0712">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正高级工程师</w:t>
            </w:r>
          </w:p>
        </w:tc>
      </w:tr>
      <w:tr w14:paraId="202B9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C9E0">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付旻</w:t>
            </w:r>
          </w:p>
        </w:tc>
        <w:tc>
          <w:tcPr>
            <w:tcW w:w="5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A2BD">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昆明华逸丰科技有限公司</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D95B">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高级工程师</w:t>
            </w:r>
          </w:p>
        </w:tc>
      </w:tr>
      <w:tr w14:paraId="6F919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1CB2">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胡文君</w:t>
            </w:r>
          </w:p>
        </w:tc>
        <w:tc>
          <w:tcPr>
            <w:tcW w:w="5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833E">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云南省地质环境监测院</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987D">
            <w:pPr>
              <w:keepNext w:val="0"/>
              <w:keepLines w:val="0"/>
              <w:widowControl/>
              <w:suppressLineNumbers w:val="0"/>
              <w:spacing w:line="240" w:lineRule="auto"/>
              <w:jc w:val="center"/>
              <w:textAlignment w:val="top"/>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高级工程师</w:t>
            </w:r>
          </w:p>
        </w:tc>
      </w:tr>
    </w:tbl>
    <w:p w14:paraId="1B06CC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4ZjZiZWY4ODg1NjUzYjc5NjA0ZTA2ZTJkZmQ5MjkifQ=="/>
  </w:docVars>
  <w:rsids>
    <w:rsidRoot w:val="1AFF3AFC"/>
    <w:rsid w:val="16CE44FD"/>
    <w:rsid w:val="17317B00"/>
    <w:rsid w:val="1AFF3AFC"/>
    <w:rsid w:val="20DA787E"/>
    <w:rsid w:val="2DAB7B6A"/>
    <w:rsid w:val="41A960B9"/>
    <w:rsid w:val="52804156"/>
    <w:rsid w:val="726348F0"/>
    <w:rsid w:val="77633765"/>
    <w:rsid w:val="789F0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楷体" w:hAnsi="楷体" w:eastAsia="楷体" w:cs="楷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1602</Words>
  <Characters>1720</Characters>
  <Lines>0</Lines>
  <Paragraphs>0</Paragraphs>
  <TotalTime>6</TotalTime>
  <ScaleCrop>false</ScaleCrop>
  <LinksUpToDate>false</LinksUpToDate>
  <CharactersWithSpaces>1740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2024-05-10T07:20:00Z</dcterms:created>
  <dc:creator>Administrator</dc:creator>
  <cp:lastModifiedBy>WPS_1525332042</cp:lastModifiedBy>
  <dcterms:modified xsi:type="dcterms:W3CDTF">2024-12-21T10:21:30Z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829AE262C07E4E86A439661D41D90FA1_13</vt:lpwstr>
  </property>
</Properties>
</file>