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47246">
      <w:pPr>
        <w:pStyle w:val="15"/>
        <w:spacing w:beforeLines="50" w:afterLines="50" w:line="600" w:lineRule="auto"/>
        <w:jc w:val="center"/>
        <w:rPr>
          <w:rFonts w:hint="default" w:hAnsi="宋体" w:eastAsia="宋体" w:cs="宋体"/>
          <w:b/>
          <w:bCs/>
          <w:color w:val="auto"/>
          <w:sz w:val="48"/>
          <w:szCs w:val="48"/>
          <w:highlight w:val="none"/>
          <w:lang w:val="en-US" w:eastAsia="zh-CN"/>
        </w:rPr>
      </w:pPr>
      <w:bookmarkStart w:id="0" w:name="_Toc11114"/>
      <w:bookmarkStart w:id="1" w:name="_Toc32760"/>
      <w:bookmarkStart w:id="2" w:name="_Toc19518"/>
      <w:bookmarkStart w:id="3" w:name="_Toc20840"/>
      <w:bookmarkStart w:id="4" w:name="_Toc23217"/>
      <w:bookmarkStart w:id="5" w:name="_Toc25478"/>
      <w:bookmarkStart w:id="6" w:name="_Toc21453"/>
      <w:bookmarkStart w:id="7" w:name="_Toc25873"/>
      <w:bookmarkStart w:id="8" w:name="_Toc22511"/>
      <w:bookmarkStart w:id="9" w:name="_Toc17143"/>
      <w:bookmarkStart w:id="10" w:name="_Toc29381"/>
      <w:bookmarkStart w:id="11" w:name="_Toc24124"/>
      <w:bookmarkStart w:id="12" w:name="_Toc6287"/>
      <w:bookmarkStart w:id="13" w:name="_Toc28249"/>
      <w:bookmarkStart w:id="14" w:name="_Toc14853"/>
      <w:bookmarkStart w:id="15" w:name="_Toc11642"/>
      <w:bookmarkStart w:id="16" w:name="_Toc5576"/>
      <w:bookmarkStart w:id="17" w:name="_Toc25703"/>
      <w:bookmarkStart w:id="18" w:name="_Toc24679"/>
      <w:bookmarkStart w:id="19" w:name="_Toc16190"/>
      <w:bookmarkStart w:id="20" w:name="_Toc18922"/>
      <w:r>
        <w:rPr>
          <w:rFonts w:hint="eastAsia" w:hAnsi="宋体" w:cs="宋体"/>
          <w:b/>
          <w:bCs/>
          <w:color w:val="auto"/>
          <w:sz w:val="48"/>
          <w:szCs w:val="48"/>
          <w:highlight w:val="none"/>
        </w:rPr>
        <w:t>云南省昆明市官渡区人民政府长水街道办事处202</w:t>
      </w:r>
      <w:r>
        <w:rPr>
          <w:rFonts w:hint="eastAsia" w:hAnsi="宋体" w:cs="宋体"/>
          <w:b/>
          <w:bCs/>
          <w:color w:val="auto"/>
          <w:sz w:val="48"/>
          <w:szCs w:val="48"/>
          <w:highlight w:val="none"/>
          <w:lang w:val="en-US" w:eastAsia="zh-CN"/>
        </w:rPr>
        <w:t>5</w:t>
      </w:r>
      <w:r>
        <w:rPr>
          <w:rFonts w:hint="eastAsia" w:hAnsi="宋体" w:cs="宋体"/>
          <w:b/>
          <w:bCs/>
          <w:color w:val="auto"/>
          <w:sz w:val="48"/>
          <w:szCs w:val="48"/>
          <w:highlight w:val="none"/>
        </w:rPr>
        <w:t>-202</w:t>
      </w:r>
      <w:r>
        <w:rPr>
          <w:rFonts w:hint="eastAsia" w:hAnsi="宋体" w:cs="宋体"/>
          <w:b/>
          <w:bCs/>
          <w:color w:val="auto"/>
          <w:sz w:val="48"/>
          <w:szCs w:val="48"/>
          <w:highlight w:val="none"/>
          <w:lang w:val="en-US" w:eastAsia="zh-CN"/>
        </w:rPr>
        <w:t>6</w:t>
      </w:r>
      <w:r>
        <w:rPr>
          <w:rFonts w:hint="eastAsia" w:hAnsi="宋体" w:cs="宋体"/>
          <w:b/>
          <w:bCs/>
          <w:color w:val="auto"/>
          <w:sz w:val="48"/>
          <w:szCs w:val="48"/>
          <w:highlight w:val="none"/>
        </w:rPr>
        <w:t>年度招标代理</w:t>
      </w:r>
      <w:r>
        <w:rPr>
          <w:rFonts w:hint="eastAsia" w:hAnsi="宋体" w:eastAsia="宋体" w:cs="宋体"/>
          <w:b/>
          <w:bCs/>
          <w:color w:val="auto"/>
          <w:sz w:val="48"/>
          <w:szCs w:val="48"/>
          <w:highlight w:val="none"/>
          <w:lang w:val="en-US" w:eastAsia="zh-CN"/>
        </w:rPr>
        <w:t>服务单位采购</w:t>
      </w:r>
    </w:p>
    <w:p w14:paraId="5DFF6027">
      <w:pPr>
        <w:pStyle w:val="15"/>
        <w:spacing w:beforeLines="50" w:afterLines="50" w:line="360" w:lineRule="auto"/>
        <w:jc w:val="center"/>
        <w:rPr>
          <w:rFonts w:hAnsi="宋体" w:cs="宋体"/>
          <w:b/>
          <w:bCs/>
          <w:color w:val="auto"/>
          <w:sz w:val="48"/>
          <w:szCs w:val="48"/>
          <w:highlight w:val="none"/>
        </w:rPr>
      </w:pPr>
    </w:p>
    <w:p w14:paraId="05676B7E">
      <w:pPr>
        <w:rPr>
          <w:rFonts w:ascii="宋体" w:hAnsi="宋体" w:cs="宋体"/>
          <w:b/>
          <w:bCs/>
          <w:color w:val="auto"/>
          <w:sz w:val="72"/>
          <w:szCs w:val="72"/>
          <w:highlight w:val="none"/>
        </w:rPr>
      </w:pPr>
    </w:p>
    <w:p w14:paraId="04ED4502">
      <w:pPr>
        <w:pStyle w:val="2"/>
        <w:rPr>
          <w:rFonts w:ascii="宋体" w:hAnsi="宋体" w:cs="宋体"/>
          <w:color w:val="auto"/>
          <w:highlight w:val="none"/>
        </w:rPr>
      </w:pPr>
    </w:p>
    <w:p w14:paraId="0406DCA4">
      <w:pPr>
        <w:pStyle w:val="2"/>
        <w:rPr>
          <w:rFonts w:ascii="宋体" w:hAnsi="宋体" w:cs="宋体"/>
          <w:color w:val="auto"/>
          <w:highlight w:val="none"/>
        </w:rPr>
      </w:pPr>
    </w:p>
    <w:p w14:paraId="6EB35D0F">
      <w:pPr>
        <w:pStyle w:val="15"/>
        <w:spacing w:line="360" w:lineRule="auto"/>
        <w:jc w:val="center"/>
        <w:rPr>
          <w:rFonts w:hAnsi="宋体" w:cs="宋体"/>
          <w:color w:val="auto"/>
          <w:highlight w:val="none"/>
        </w:rPr>
      </w:pPr>
      <w:r>
        <w:rPr>
          <w:rFonts w:hint="eastAsia" w:hAnsi="宋体" w:cs="宋体"/>
          <w:b/>
          <w:bCs/>
          <w:color w:val="auto"/>
          <w:sz w:val="84"/>
          <w:szCs w:val="84"/>
          <w:highlight w:val="none"/>
        </w:rPr>
        <w:t>竞争性磋商文件</w:t>
      </w:r>
    </w:p>
    <w:p w14:paraId="0B98C0D5">
      <w:pPr>
        <w:jc w:val="center"/>
        <w:rPr>
          <w:rFonts w:ascii="宋体" w:hAnsi="宋体" w:cs="宋体"/>
          <w:b/>
          <w:bCs/>
          <w:color w:val="auto"/>
          <w:sz w:val="36"/>
          <w:szCs w:val="36"/>
          <w:highlight w:val="none"/>
        </w:rPr>
      </w:pPr>
      <w:r>
        <w:rPr>
          <w:rFonts w:hint="eastAsia" w:ascii="宋体" w:hAnsi="宋体" w:eastAsia="宋体" w:cs="宋体"/>
          <w:b/>
          <w:bCs/>
          <w:color w:val="00B0F0"/>
          <w:sz w:val="36"/>
          <w:szCs w:val="36"/>
          <w:highlight w:val="none"/>
          <w:lang w:val="en-US" w:eastAsia="zh-CN"/>
        </w:rPr>
        <w:t xml:space="preserve"> </w:t>
      </w:r>
      <w:r>
        <w:rPr>
          <w:rFonts w:hint="eastAsia" w:ascii="宋体" w:hAnsi="宋体" w:cs="宋体"/>
          <w:b/>
          <w:bCs/>
          <w:color w:val="auto"/>
          <w:sz w:val="36"/>
          <w:szCs w:val="36"/>
          <w:highlight w:val="none"/>
          <w:lang w:val="en-US" w:eastAsia="zh-CN"/>
        </w:rPr>
        <w:t xml:space="preserve"> </w:t>
      </w:r>
    </w:p>
    <w:p w14:paraId="4B7034D3">
      <w:pPr>
        <w:rPr>
          <w:rFonts w:ascii="宋体" w:hAnsi="宋体" w:cs="宋体"/>
          <w:b/>
          <w:bCs/>
          <w:color w:val="auto"/>
          <w:sz w:val="36"/>
          <w:szCs w:val="36"/>
          <w:highlight w:val="none"/>
        </w:rPr>
      </w:pPr>
    </w:p>
    <w:p w14:paraId="18DABF41">
      <w:pPr>
        <w:pStyle w:val="44"/>
        <w:ind w:firstLine="723"/>
        <w:rPr>
          <w:rFonts w:ascii="宋体" w:hAnsi="宋体" w:cs="宋体"/>
          <w:b/>
          <w:bCs/>
          <w:color w:val="auto"/>
          <w:sz w:val="36"/>
          <w:szCs w:val="36"/>
          <w:highlight w:val="none"/>
        </w:rPr>
      </w:pPr>
    </w:p>
    <w:p w14:paraId="5B282AD3">
      <w:pPr>
        <w:pStyle w:val="44"/>
        <w:ind w:firstLine="723"/>
        <w:rPr>
          <w:rFonts w:ascii="宋体" w:hAnsi="宋体" w:cs="宋体"/>
          <w:b/>
          <w:bCs/>
          <w:color w:val="auto"/>
          <w:sz w:val="36"/>
          <w:szCs w:val="36"/>
          <w:highlight w:val="none"/>
        </w:rPr>
      </w:pPr>
    </w:p>
    <w:p w14:paraId="109991CA">
      <w:pPr>
        <w:pStyle w:val="44"/>
        <w:ind w:firstLine="723"/>
        <w:rPr>
          <w:rFonts w:ascii="宋体" w:hAnsi="宋体" w:cs="宋体"/>
          <w:b/>
          <w:bCs/>
          <w:color w:val="auto"/>
          <w:sz w:val="36"/>
          <w:szCs w:val="36"/>
          <w:highlight w:val="none"/>
        </w:rPr>
      </w:pPr>
    </w:p>
    <w:p w14:paraId="1E590442">
      <w:pPr>
        <w:pStyle w:val="44"/>
        <w:ind w:firstLine="723"/>
        <w:rPr>
          <w:rFonts w:ascii="宋体" w:hAnsi="宋体" w:cs="宋体"/>
          <w:b/>
          <w:bCs/>
          <w:color w:val="auto"/>
          <w:sz w:val="36"/>
          <w:szCs w:val="36"/>
          <w:highlight w:val="none"/>
        </w:rPr>
      </w:pPr>
    </w:p>
    <w:p w14:paraId="7C0EB209">
      <w:pPr>
        <w:pStyle w:val="44"/>
        <w:ind w:firstLine="723"/>
        <w:rPr>
          <w:rFonts w:ascii="宋体" w:hAnsi="宋体" w:cs="宋体"/>
          <w:b/>
          <w:bCs/>
          <w:color w:val="auto"/>
          <w:sz w:val="36"/>
          <w:szCs w:val="36"/>
          <w:highlight w:val="none"/>
        </w:rPr>
      </w:pPr>
    </w:p>
    <w:p w14:paraId="2E72626E">
      <w:pPr>
        <w:pStyle w:val="44"/>
        <w:ind w:firstLine="723"/>
        <w:rPr>
          <w:rFonts w:ascii="宋体" w:hAnsi="宋体" w:cs="宋体"/>
          <w:b/>
          <w:bCs/>
          <w:color w:val="auto"/>
          <w:sz w:val="36"/>
          <w:szCs w:val="36"/>
          <w:highlight w:val="none"/>
        </w:rPr>
      </w:pPr>
    </w:p>
    <w:p w14:paraId="7592CD0F">
      <w:pPr>
        <w:pStyle w:val="15"/>
        <w:spacing w:line="800" w:lineRule="exact"/>
        <w:ind w:firstLine="1084" w:firstLineChars="300"/>
        <w:jc w:val="both"/>
        <w:rPr>
          <w:rFonts w:hAnsi="宋体" w:cs="宋体"/>
          <w:b/>
          <w:bCs/>
          <w:color w:val="auto"/>
          <w:sz w:val="36"/>
          <w:szCs w:val="36"/>
          <w:highlight w:val="none"/>
        </w:rPr>
      </w:pPr>
      <w:r>
        <w:rPr>
          <w:rFonts w:hint="eastAsia" w:hAnsi="宋体" w:cs="宋体"/>
          <w:b/>
          <w:bCs/>
          <w:color w:val="auto"/>
          <w:sz w:val="36"/>
          <w:szCs w:val="36"/>
          <w:highlight w:val="none"/>
        </w:rPr>
        <w:t>采购人: 昆明市官渡区人民政府长水街道办事处</w:t>
      </w:r>
    </w:p>
    <w:p w14:paraId="7E00CE2B">
      <w:pPr>
        <w:pStyle w:val="15"/>
        <w:spacing w:line="800" w:lineRule="exact"/>
        <w:jc w:val="center"/>
        <w:rPr>
          <w:rFonts w:hAnsi="宋体" w:cs="宋体"/>
          <w:b/>
          <w:bCs/>
          <w:color w:val="auto"/>
          <w:sz w:val="36"/>
          <w:szCs w:val="36"/>
          <w:highlight w:val="none"/>
        </w:rPr>
      </w:pPr>
      <w:r>
        <w:rPr>
          <w:rFonts w:hint="eastAsia" w:hAnsi="宋体" w:eastAsia="宋体" w:cs="宋体"/>
          <w:b/>
          <w:bCs/>
          <w:color w:val="auto"/>
          <w:sz w:val="36"/>
          <w:szCs w:val="36"/>
          <w:highlight w:val="none"/>
          <w:lang w:val="en-US" w:eastAsia="zh-CN"/>
        </w:rPr>
        <w:t xml:space="preserve"> </w:t>
      </w:r>
      <w:r>
        <w:rPr>
          <w:rFonts w:hint="eastAsia" w:hAnsi="宋体" w:cs="宋体"/>
          <w:b/>
          <w:bCs/>
          <w:color w:val="auto"/>
          <w:sz w:val="36"/>
          <w:szCs w:val="36"/>
          <w:highlight w:val="none"/>
        </w:rPr>
        <w:t>二</w:t>
      </w:r>
      <w:r>
        <w:rPr>
          <w:rFonts w:hint="eastAsia" w:hAnsi="宋体" w:eastAsia="宋体" w:cs="宋体"/>
          <w:b/>
          <w:bCs/>
          <w:color w:val="auto"/>
          <w:sz w:val="36"/>
          <w:szCs w:val="36"/>
          <w:highlight w:val="none"/>
          <w:lang w:val="en-US" w:eastAsia="zh-CN"/>
        </w:rPr>
        <w:t>零</w:t>
      </w:r>
      <w:r>
        <w:rPr>
          <w:rFonts w:hint="eastAsia" w:hAnsi="宋体" w:cs="宋体"/>
          <w:b/>
          <w:bCs/>
          <w:color w:val="auto"/>
          <w:sz w:val="36"/>
          <w:szCs w:val="36"/>
          <w:highlight w:val="none"/>
        </w:rPr>
        <w:t>二五年</w:t>
      </w:r>
      <w:r>
        <w:rPr>
          <w:rFonts w:hint="eastAsia" w:hAnsi="宋体" w:cs="宋体"/>
          <w:b/>
          <w:bCs/>
          <w:color w:val="auto"/>
          <w:sz w:val="36"/>
          <w:szCs w:val="36"/>
          <w:highlight w:val="none"/>
          <w:lang w:val="en-US" w:eastAsia="zh-CN"/>
        </w:rPr>
        <w:t>九</w:t>
      </w:r>
      <w:r>
        <w:rPr>
          <w:rFonts w:hint="eastAsia" w:hAnsi="宋体" w:cs="宋体"/>
          <w:b/>
          <w:bCs/>
          <w:color w:val="auto"/>
          <w:sz w:val="36"/>
          <w:szCs w:val="36"/>
          <w:highlight w:val="none"/>
        </w:rPr>
        <w:t>月</w:t>
      </w:r>
    </w:p>
    <w:p w14:paraId="0887E4B5">
      <w:pPr>
        <w:rPr>
          <w:rFonts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416CBF1">
      <w:pPr>
        <w:pStyle w:val="3"/>
        <w:spacing w:line="400" w:lineRule="exact"/>
        <w:ind w:left="0" w:firstLine="0"/>
        <w:jc w:val="center"/>
        <w:rPr>
          <w:rFonts w:ascii="仿宋" w:hAnsi="仿宋" w:eastAsia="仿宋" w:cs="仿宋"/>
          <w:color w:val="auto"/>
          <w:sz w:val="32"/>
          <w:szCs w:val="21"/>
          <w:highlight w:val="none"/>
        </w:rPr>
      </w:pPr>
    </w:p>
    <w:p w14:paraId="4F21FB00">
      <w:pPr>
        <w:pStyle w:val="3"/>
        <w:spacing w:line="400" w:lineRule="exact"/>
        <w:ind w:left="0" w:firstLine="0"/>
        <w:jc w:val="center"/>
        <w:rPr>
          <w:rFonts w:ascii="仿宋" w:hAnsi="仿宋" w:eastAsia="仿宋" w:cs="仿宋"/>
          <w:color w:val="auto"/>
          <w:highlight w:val="none"/>
        </w:rPr>
      </w:pPr>
      <w:bookmarkStart w:id="21" w:name="_Toc32599"/>
      <w:r>
        <w:rPr>
          <w:rFonts w:hint="eastAsia" w:ascii="仿宋" w:hAnsi="仿宋" w:eastAsia="仿宋" w:cs="仿宋"/>
          <w:color w:val="auto"/>
          <w:sz w:val="32"/>
          <w:szCs w:val="21"/>
          <w:highlight w:val="none"/>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47EFC58D">
      <w:pPr>
        <w:pStyle w:val="50"/>
        <w:tabs>
          <w:tab w:val="right" w:leader="dot" w:pos="9207"/>
        </w:tabs>
        <w:spacing w:line="360" w:lineRule="exact"/>
        <w:ind w:left="0" w:leftChars="0"/>
        <w:jc w:val="both"/>
        <w:rPr>
          <w:rFonts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p>
    <w:p w14:paraId="65A0F63D">
      <w:pPr>
        <w:pStyle w:val="20"/>
        <w:tabs>
          <w:tab w:val="right" w:leader="dot" w:pos="9660"/>
        </w:tabs>
        <w:rPr>
          <w:color w:val="auto"/>
          <w:highlight w:val="none"/>
        </w:rPr>
      </w:pPr>
    </w:p>
    <w:p w14:paraId="08B3ED93">
      <w:pPr>
        <w:pStyle w:val="20"/>
        <w:tabs>
          <w:tab w:val="right" w:leader="dot" w:pos="9660"/>
        </w:tabs>
        <w:rPr>
          <w:color w:val="auto"/>
          <w:highlight w:val="none"/>
        </w:rPr>
      </w:pPr>
      <w:r>
        <w:rPr>
          <w:color w:val="auto"/>
          <w:highlight w:val="none"/>
        </w:rPr>
        <w:fldChar w:fldCharType="begin"/>
      </w:r>
      <w:r>
        <w:rPr>
          <w:color w:val="auto"/>
          <w:highlight w:val="none"/>
        </w:rPr>
        <w:instrText xml:space="preserve"> HYPERLINK \l "_Toc7912" </w:instrText>
      </w:r>
      <w:r>
        <w:rPr>
          <w:color w:val="auto"/>
          <w:highlight w:val="none"/>
        </w:rPr>
        <w:fldChar w:fldCharType="separate"/>
      </w:r>
      <w:r>
        <w:rPr>
          <w:rFonts w:hint="eastAsia" w:ascii="仿宋" w:hAnsi="仿宋" w:eastAsia="仿宋" w:cs="仿宋"/>
          <w:color w:val="auto"/>
          <w:highlight w:val="none"/>
        </w:rPr>
        <w:t>第一章  竞争性磋商公告</w:t>
      </w:r>
      <w:r>
        <w:rPr>
          <w:color w:val="auto"/>
          <w:highlight w:val="none"/>
        </w:rPr>
        <w:tab/>
      </w:r>
      <w:r>
        <w:rPr>
          <w:rFonts w:hint="eastAsia"/>
          <w:color w:val="auto"/>
          <w:highlight w:val="none"/>
        </w:rPr>
        <w:t>1</w:t>
      </w:r>
      <w:r>
        <w:rPr>
          <w:rFonts w:hint="eastAsia"/>
          <w:color w:val="auto"/>
          <w:highlight w:val="none"/>
        </w:rPr>
        <w:fldChar w:fldCharType="end"/>
      </w:r>
    </w:p>
    <w:p w14:paraId="115002A2">
      <w:pPr>
        <w:pStyle w:val="20"/>
        <w:tabs>
          <w:tab w:val="right" w:leader="dot" w:pos="9660"/>
        </w:tabs>
        <w:rPr>
          <w:color w:val="auto"/>
          <w:highlight w:val="none"/>
        </w:rPr>
      </w:pPr>
      <w:r>
        <w:rPr>
          <w:color w:val="auto"/>
          <w:highlight w:val="none"/>
        </w:rPr>
        <w:fldChar w:fldCharType="begin"/>
      </w:r>
      <w:r>
        <w:rPr>
          <w:color w:val="auto"/>
          <w:highlight w:val="none"/>
        </w:rPr>
        <w:instrText xml:space="preserve"> HYPERLINK \l "_Toc19686" </w:instrText>
      </w:r>
      <w:r>
        <w:rPr>
          <w:color w:val="auto"/>
          <w:highlight w:val="none"/>
        </w:rPr>
        <w:fldChar w:fldCharType="separate"/>
      </w:r>
      <w:r>
        <w:rPr>
          <w:rFonts w:hint="eastAsia" w:ascii="仿宋" w:hAnsi="仿宋" w:eastAsia="仿宋" w:cs="仿宋"/>
          <w:bCs/>
          <w:color w:val="auto"/>
          <w:kern w:val="0"/>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_Toc19686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C471C8F">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"_Toc1238" </w:instrText>
      </w:r>
      <w:r>
        <w:rPr>
          <w:color w:val="auto"/>
          <w:highlight w:val="none"/>
        </w:rPr>
        <w:fldChar w:fldCharType="separate"/>
      </w:r>
      <w:r>
        <w:rPr>
          <w:rFonts w:hint="eastAsia" w:ascii="仿宋" w:hAnsi="仿宋" w:eastAsia="仿宋" w:cs="仿宋"/>
          <w:color w:val="auto"/>
          <w:szCs w:val="28"/>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_Toc1238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64FDE29">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"_Toc1951" </w:instrText>
      </w:r>
      <w:r>
        <w:rPr>
          <w:color w:val="auto"/>
          <w:highlight w:val="none"/>
        </w:rPr>
        <w:fldChar w:fldCharType="separate"/>
      </w:r>
      <w:r>
        <w:rPr>
          <w:rFonts w:hint="eastAsia" w:ascii="仿宋" w:hAnsi="仿宋" w:eastAsia="仿宋" w:cs="仿宋"/>
          <w:bCs/>
          <w:color w:val="auto"/>
          <w:szCs w:val="28"/>
          <w:highlight w:val="none"/>
        </w:rPr>
        <w:t>二、供应商须知</w:t>
      </w:r>
      <w:r>
        <w:rPr>
          <w:color w:val="auto"/>
          <w:highlight w:val="none"/>
        </w:rPr>
        <w:tab/>
      </w:r>
      <w:r>
        <w:rPr>
          <w:color w:val="auto"/>
          <w:highlight w:val="none"/>
        </w:rPr>
        <w:fldChar w:fldCharType="begin"/>
      </w:r>
      <w:r>
        <w:rPr>
          <w:color w:val="auto"/>
          <w:highlight w:val="none"/>
        </w:rPr>
        <w:instrText xml:space="preserve"> PAGEREF _Toc1951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446936FC">
      <w:pPr>
        <w:pStyle w:val="20"/>
        <w:tabs>
          <w:tab w:val="right" w:leader="dot" w:pos="9660"/>
        </w:tabs>
        <w:rPr>
          <w:color w:val="auto"/>
          <w:highlight w:val="none"/>
        </w:rPr>
      </w:pPr>
      <w:r>
        <w:rPr>
          <w:color w:val="auto"/>
          <w:highlight w:val="none"/>
        </w:rPr>
        <w:fldChar w:fldCharType="begin"/>
      </w:r>
      <w:r>
        <w:rPr>
          <w:color w:val="auto"/>
          <w:highlight w:val="none"/>
        </w:rPr>
        <w:instrText xml:space="preserve"> HYPERLINK \l "_Toc17125" </w:instrText>
      </w:r>
      <w:r>
        <w:rPr>
          <w:color w:val="auto"/>
          <w:highlight w:val="none"/>
        </w:rPr>
        <w:fldChar w:fldCharType="separate"/>
      </w:r>
      <w:r>
        <w:rPr>
          <w:rFonts w:hint="eastAsia" w:ascii="仿宋" w:hAnsi="仿宋" w:eastAsia="仿宋" w:cs="仿宋"/>
          <w:bCs/>
          <w:color w:val="auto"/>
          <w:kern w:val="0"/>
          <w:highlight w:val="none"/>
        </w:rPr>
        <w:t>第三章 合同书样式及主要条款</w:t>
      </w:r>
      <w:r>
        <w:rPr>
          <w:color w:val="auto"/>
          <w:highlight w:val="none"/>
        </w:rPr>
        <w:tab/>
      </w:r>
      <w:r>
        <w:rPr>
          <w:color w:val="auto"/>
          <w:highlight w:val="none"/>
        </w:rPr>
        <w:fldChar w:fldCharType="begin"/>
      </w:r>
      <w:r>
        <w:rPr>
          <w:color w:val="auto"/>
          <w:highlight w:val="none"/>
        </w:rPr>
        <w:instrText xml:space="preserve"> PAGEREF _Toc17125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17DB026C">
      <w:pPr>
        <w:pStyle w:val="20"/>
        <w:tabs>
          <w:tab w:val="right" w:leader="dot" w:pos="9660"/>
        </w:tabs>
        <w:rPr>
          <w:color w:val="auto"/>
          <w:highlight w:val="none"/>
        </w:rPr>
      </w:pPr>
      <w:r>
        <w:rPr>
          <w:color w:val="auto"/>
          <w:highlight w:val="none"/>
        </w:rPr>
        <w:fldChar w:fldCharType="begin"/>
      </w:r>
      <w:r>
        <w:rPr>
          <w:color w:val="auto"/>
          <w:highlight w:val="none"/>
        </w:rPr>
        <w:instrText xml:space="preserve"> HYPERLINK \l "_Toc12161" </w:instrText>
      </w:r>
      <w:r>
        <w:rPr>
          <w:color w:val="auto"/>
          <w:highlight w:val="none"/>
        </w:rPr>
        <w:fldChar w:fldCharType="separate"/>
      </w:r>
      <w:r>
        <w:rPr>
          <w:rFonts w:hint="eastAsia" w:ascii="仿宋" w:hAnsi="仿宋" w:eastAsia="仿宋" w:cs="仿宋"/>
          <w:bCs/>
          <w:color w:val="auto"/>
          <w:kern w:val="0"/>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_Toc12161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4693BBA4">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"_Toc23580" </w:instrText>
      </w:r>
      <w:r>
        <w:rPr>
          <w:color w:val="auto"/>
          <w:highlight w:val="none"/>
        </w:rPr>
        <w:fldChar w:fldCharType="separate"/>
      </w:r>
      <w:r>
        <w:rPr>
          <w:rFonts w:hint="eastAsia" w:ascii="仿宋" w:hAnsi="仿宋" w:eastAsia="仿宋" w:cs="仿宋"/>
          <w:color w:val="auto"/>
          <w:highlight w:val="none"/>
        </w:rPr>
        <w:t>（一）磋商报价一览表</w:t>
      </w:r>
      <w:r>
        <w:rPr>
          <w:color w:val="auto"/>
          <w:highlight w:val="none"/>
        </w:rPr>
        <w:tab/>
      </w:r>
      <w:r>
        <w:rPr>
          <w:color w:val="auto"/>
          <w:highlight w:val="none"/>
        </w:rPr>
        <w:fldChar w:fldCharType="begin"/>
      </w:r>
      <w:r>
        <w:rPr>
          <w:color w:val="auto"/>
          <w:highlight w:val="none"/>
        </w:rPr>
        <w:instrText xml:space="preserve"> PAGEREF _Toc23580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165E9BD3">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"_Toc5685" </w:instrText>
      </w:r>
      <w:r>
        <w:rPr>
          <w:color w:val="auto"/>
          <w:highlight w:val="none"/>
        </w:rPr>
        <w:fldChar w:fldCharType="separate"/>
      </w:r>
      <w:r>
        <w:rPr>
          <w:rFonts w:hint="eastAsia" w:ascii="仿宋" w:hAnsi="仿宋" w:eastAsia="仿宋" w:cs="仿宋"/>
          <w:color w:val="auto"/>
          <w:highlight w:val="none"/>
        </w:rPr>
        <w:t>（二）资格证明文件</w:t>
      </w:r>
      <w:r>
        <w:rPr>
          <w:color w:val="auto"/>
          <w:highlight w:val="none"/>
        </w:rPr>
        <w:tab/>
      </w:r>
      <w:r>
        <w:rPr>
          <w:color w:val="auto"/>
          <w:highlight w:val="none"/>
        </w:rPr>
        <w:fldChar w:fldCharType="begin"/>
      </w:r>
      <w:r>
        <w:rPr>
          <w:color w:val="auto"/>
          <w:highlight w:val="none"/>
        </w:rPr>
        <w:instrText xml:space="preserve"> PAGEREF _Toc5685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209263C0">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"_Toc25827" </w:instrText>
      </w:r>
      <w:r>
        <w:rPr>
          <w:color w:val="auto"/>
          <w:highlight w:val="none"/>
        </w:rPr>
        <w:fldChar w:fldCharType="separate"/>
      </w:r>
      <w:r>
        <w:rPr>
          <w:rFonts w:hint="eastAsia" w:ascii="仿宋" w:hAnsi="仿宋" w:eastAsia="仿宋" w:cs="仿宋"/>
          <w:color w:val="auto"/>
          <w:highlight w:val="none"/>
        </w:rPr>
        <w:t>（三）磋商申请函</w:t>
      </w:r>
      <w:r>
        <w:rPr>
          <w:color w:val="auto"/>
          <w:highlight w:val="none"/>
        </w:rPr>
        <w:tab/>
      </w:r>
      <w:r>
        <w:rPr>
          <w:color w:val="auto"/>
          <w:highlight w:val="none"/>
        </w:rPr>
        <w:fldChar w:fldCharType="begin"/>
      </w:r>
      <w:r>
        <w:rPr>
          <w:color w:val="auto"/>
          <w:highlight w:val="none"/>
        </w:rPr>
        <w:instrText xml:space="preserve"> PAGEREF _Toc25827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14B918DA">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"_Toc3035" </w:instrText>
      </w:r>
      <w:r>
        <w:rPr>
          <w:color w:val="auto"/>
          <w:highlight w:val="none"/>
        </w:rPr>
        <w:fldChar w:fldCharType="separate"/>
      </w:r>
      <w:r>
        <w:rPr>
          <w:rFonts w:hint="eastAsia" w:ascii="仿宋" w:hAnsi="仿宋" w:eastAsia="仿宋" w:cs="仿宋"/>
          <w:color w:val="auto"/>
          <w:highlight w:val="none"/>
        </w:rPr>
        <w:t>（四）磋商报价说明或明细</w:t>
      </w:r>
      <w:r>
        <w:rPr>
          <w:color w:val="auto"/>
          <w:highlight w:val="none"/>
        </w:rPr>
        <w:tab/>
      </w:r>
      <w:r>
        <w:rPr>
          <w:color w:val="auto"/>
          <w:highlight w:val="none"/>
        </w:rPr>
        <w:fldChar w:fldCharType="begin"/>
      </w:r>
      <w:r>
        <w:rPr>
          <w:color w:val="auto"/>
          <w:highlight w:val="none"/>
        </w:rPr>
        <w:instrText xml:space="preserve"> PAGEREF _Toc3035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796F1268">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"_Toc28" </w:instrText>
      </w:r>
      <w:r>
        <w:rPr>
          <w:color w:val="auto"/>
          <w:highlight w:val="none"/>
        </w:rPr>
        <w:fldChar w:fldCharType="separate"/>
      </w:r>
      <w:r>
        <w:rPr>
          <w:rFonts w:hint="eastAsia" w:ascii="仿宋" w:hAnsi="仿宋" w:eastAsia="仿宋" w:cs="仿宋"/>
          <w:color w:val="auto"/>
          <w:szCs w:val="32"/>
          <w:highlight w:val="none"/>
        </w:rPr>
        <w:t>（五）商务条款偏离表</w:t>
      </w:r>
      <w:r>
        <w:rPr>
          <w:color w:val="auto"/>
          <w:highlight w:val="none"/>
        </w:rPr>
        <w:tab/>
      </w:r>
      <w:r>
        <w:rPr>
          <w:color w:val="auto"/>
          <w:highlight w:val="none"/>
        </w:rPr>
        <w:fldChar w:fldCharType="begin"/>
      </w:r>
      <w:r>
        <w:rPr>
          <w:color w:val="auto"/>
          <w:highlight w:val="none"/>
        </w:rPr>
        <w:instrText xml:space="preserve"> PAGEREF _Toc28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60B0E7F9">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"_Toc16722" </w:instrText>
      </w:r>
      <w:r>
        <w:rPr>
          <w:color w:val="auto"/>
          <w:highlight w:val="none"/>
        </w:rPr>
        <w:fldChar w:fldCharType="separate"/>
      </w:r>
      <w:r>
        <w:rPr>
          <w:rFonts w:hint="eastAsia" w:ascii="仿宋" w:hAnsi="仿宋" w:eastAsia="仿宋" w:cs="仿宋"/>
          <w:color w:val="auto"/>
          <w:highlight w:val="none"/>
        </w:rPr>
        <w:t>（六）技术文件</w:t>
      </w:r>
      <w:r>
        <w:rPr>
          <w:color w:val="auto"/>
          <w:highlight w:val="none"/>
        </w:rPr>
        <w:tab/>
      </w:r>
      <w:r>
        <w:rPr>
          <w:color w:val="auto"/>
          <w:highlight w:val="none"/>
        </w:rPr>
        <w:fldChar w:fldCharType="begin"/>
      </w:r>
      <w:r>
        <w:rPr>
          <w:color w:val="auto"/>
          <w:highlight w:val="none"/>
        </w:rPr>
        <w:instrText xml:space="preserve"> PAGEREF _Toc16722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461AE96">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"_Toc22387" </w:instrText>
      </w:r>
      <w:r>
        <w:rPr>
          <w:color w:val="auto"/>
          <w:highlight w:val="none"/>
        </w:rPr>
        <w:fldChar w:fldCharType="separate"/>
      </w:r>
      <w:r>
        <w:rPr>
          <w:rFonts w:hint="eastAsia" w:ascii="仿宋" w:hAnsi="仿宋" w:eastAsia="仿宋" w:cs="仿宋"/>
          <w:color w:val="auto"/>
          <w:highlight w:val="none"/>
        </w:rPr>
        <w:t>（七）服务文件</w:t>
      </w:r>
      <w:r>
        <w:rPr>
          <w:color w:val="auto"/>
          <w:highlight w:val="none"/>
        </w:rPr>
        <w:tab/>
      </w:r>
      <w:r>
        <w:rPr>
          <w:color w:val="auto"/>
          <w:highlight w:val="none"/>
        </w:rPr>
        <w:fldChar w:fldCharType="begin"/>
      </w:r>
      <w:r>
        <w:rPr>
          <w:color w:val="auto"/>
          <w:highlight w:val="none"/>
        </w:rPr>
        <w:instrText xml:space="preserve"> PAGEREF _Toc22387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FCDA358">
      <w:pPr>
        <w:pStyle w:val="21"/>
        <w:tabs>
          <w:tab w:val="right" w:leader="dot" w:pos="9660"/>
        </w:tabs>
        <w:rPr>
          <w:color w:val="auto"/>
          <w:highlight w:val="none"/>
        </w:rPr>
      </w:pPr>
      <w:r>
        <w:rPr>
          <w:color w:val="auto"/>
          <w:highlight w:val="none"/>
        </w:rPr>
        <w:fldChar w:fldCharType="begin"/>
      </w:r>
      <w:r>
        <w:rPr>
          <w:color w:val="auto"/>
          <w:highlight w:val="none"/>
        </w:rPr>
        <w:instrText xml:space="preserve"> HYPERLINK \l "_Toc11441" </w:instrText>
      </w:r>
      <w:r>
        <w:rPr>
          <w:color w:val="auto"/>
          <w:highlight w:val="none"/>
        </w:rPr>
        <w:fldChar w:fldCharType="separate"/>
      </w:r>
      <w:r>
        <w:rPr>
          <w:rFonts w:hint="eastAsia" w:ascii="仿宋" w:hAnsi="仿宋" w:eastAsia="仿宋" w:cs="仿宋"/>
          <w:color w:val="auto"/>
          <w:highlight w:val="none"/>
        </w:rPr>
        <w:t>（八）构成响应文件的其它资料</w:t>
      </w:r>
      <w:r>
        <w:rPr>
          <w:color w:val="auto"/>
          <w:highlight w:val="none"/>
        </w:rPr>
        <w:tab/>
      </w:r>
      <w:r>
        <w:rPr>
          <w:color w:val="auto"/>
          <w:highlight w:val="none"/>
        </w:rPr>
        <w:fldChar w:fldCharType="begin"/>
      </w:r>
      <w:r>
        <w:rPr>
          <w:color w:val="auto"/>
          <w:highlight w:val="none"/>
        </w:rPr>
        <w:instrText xml:space="preserve"> PAGEREF _Toc11441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DB6D14A">
      <w:pPr>
        <w:pStyle w:val="20"/>
        <w:tabs>
          <w:tab w:val="right" w:leader="dot" w:pos="9660"/>
        </w:tabs>
        <w:rPr>
          <w:color w:val="auto"/>
          <w:highlight w:val="none"/>
        </w:rPr>
      </w:pPr>
      <w:r>
        <w:rPr>
          <w:color w:val="auto"/>
          <w:highlight w:val="none"/>
        </w:rPr>
        <w:fldChar w:fldCharType="begin"/>
      </w:r>
      <w:r>
        <w:rPr>
          <w:color w:val="auto"/>
          <w:highlight w:val="none"/>
        </w:rPr>
        <w:instrText xml:space="preserve"> HYPERLINK \l "_Toc14144" </w:instrText>
      </w:r>
      <w:r>
        <w:rPr>
          <w:color w:val="auto"/>
          <w:highlight w:val="none"/>
        </w:rPr>
        <w:fldChar w:fldCharType="separate"/>
      </w:r>
      <w:r>
        <w:rPr>
          <w:rFonts w:hint="eastAsia" w:ascii="仿宋" w:hAnsi="仿宋" w:eastAsia="仿宋" w:cs="仿宋"/>
          <w:bCs/>
          <w:color w:val="auto"/>
          <w:kern w:val="0"/>
          <w:szCs w:val="22"/>
          <w:highlight w:val="none"/>
        </w:rPr>
        <w:t>第五章 采购需求</w:t>
      </w:r>
      <w:r>
        <w:rPr>
          <w:color w:val="auto"/>
          <w:highlight w:val="none"/>
        </w:rPr>
        <w:tab/>
      </w:r>
      <w:r>
        <w:rPr>
          <w:color w:val="auto"/>
          <w:highlight w:val="none"/>
        </w:rPr>
        <w:fldChar w:fldCharType="begin"/>
      </w:r>
      <w:r>
        <w:rPr>
          <w:color w:val="auto"/>
          <w:highlight w:val="none"/>
        </w:rPr>
        <w:instrText xml:space="preserve"> PAGEREF _Toc14144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FC5A87E">
      <w:pPr>
        <w:pStyle w:val="20"/>
        <w:tabs>
          <w:tab w:val="right" w:leader="dot" w:pos="9660"/>
        </w:tabs>
        <w:rPr>
          <w:color w:val="auto"/>
          <w:highlight w:val="none"/>
        </w:rPr>
      </w:pPr>
      <w:r>
        <w:rPr>
          <w:color w:val="auto"/>
          <w:highlight w:val="none"/>
        </w:rPr>
        <w:fldChar w:fldCharType="begin"/>
      </w:r>
      <w:r>
        <w:rPr>
          <w:color w:val="auto"/>
          <w:highlight w:val="none"/>
        </w:rPr>
        <w:instrText xml:space="preserve"> HYPERLINK \l "_Toc17707" </w:instrText>
      </w:r>
      <w:r>
        <w:rPr>
          <w:color w:val="auto"/>
          <w:highlight w:val="none"/>
        </w:rPr>
        <w:fldChar w:fldCharType="separate"/>
      </w:r>
      <w:r>
        <w:rPr>
          <w:rFonts w:hint="eastAsia" w:ascii="仿宋" w:hAnsi="仿宋" w:eastAsia="仿宋" w:cs="仿宋"/>
          <w:color w:val="auto"/>
          <w:szCs w:val="22"/>
          <w:highlight w:val="none"/>
        </w:rPr>
        <w:t>第六章  磋商程序和方法</w:t>
      </w:r>
      <w:r>
        <w:rPr>
          <w:color w:val="auto"/>
          <w:highlight w:val="none"/>
        </w:rPr>
        <w:tab/>
      </w:r>
      <w:r>
        <w:rPr>
          <w:color w:val="auto"/>
          <w:highlight w:val="none"/>
        </w:rPr>
        <w:fldChar w:fldCharType="begin"/>
      </w:r>
      <w:r>
        <w:rPr>
          <w:color w:val="auto"/>
          <w:highlight w:val="none"/>
        </w:rPr>
        <w:instrText xml:space="preserve"> PAGEREF _Toc17707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398528F0">
      <w:pPr>
        <w:pStyle w:val="21"/>
        <w:tabs>
          <w:tab w:val="right" w:leader="dot" w:pos="9660"/>
        </w:tabs>
        <w:rPr>
          <w:color w:val="auto"/>
          <w:highlight w:val="none"/>
        </w:rPr>
      </w:pPr>
    </w:p>
    <w:p w14:paraId="1186902C">
      <w:pPr>
        <w:tabs>
          <w:tab w:val="right" w:leader="dot" w:pos="9207"/>
        </w:tabs>
        <w:spacing w:line="360" w:lineRule="exact"/>
        <w:jc w:val="center"/>
        <w:rPr>
          <w:rFonts w:ascii="仿宋" w:hAnsi="仿宋" w:eastAsia="仿宋" w:cs="仿宋"/>
          <w:b/>
          <w:color w:val="auto"/>
          <w:highlight w:val="none"/>
        </w:rPr>
        <w:sectPr>
          <w:footerReference r:id="rId5" w:type="first"/>
          <w:headerReference r:id="rId3" w:type="default"/>
          <w:footerReference r:id="rId4" w:type="default"/>
          <w:pgSz w:w="11906" w:h="16838"/>
          <w:pgMar w:top="1440" w:right="1166" w:bottom="1440" w:left="1080" w:header="851" w:footer="132" w:gutter="0"/>
          <w:pgNumType w:fmt="decimal"/>
          <w:cols w:space="720" w:num="1"/>
          <w:titlePg/>
          <w:docGrid w:type="lines" w:linePitch="312" w:charSpace="0"/>
        </w:sectPr>
      </w:pPr>
      <w:r>
        <w:rPr>
          <w:rFonts w:hint="eastAsia" w:ascii="仿宋" w:hAnsi="仿宋" w:eastAsia="仿宋" w:cs="仿宋"/>
          <w:color w:val="auto"/>
          <w:highlight w:val="none"/>
        </w:rPr>
        <w:fldChar w:fldCharType="end"/>
      </w:r>
      <w:bookmarkStart w:id="22" w:name="_Toc5325"/>
      <w:bookmarkStart w:id="23" w:name="_Toc17089"/>
      <w:bookmarkStart w:id="24" w:name="_Toc28059"/>
      <w:bookmarkStart w:id="25" w:name="_Toc3667"/>
      <w:bookmarkStart w:id="26" w:name="_Toc23755"/>
      <w:bookmarkStart w:id="27" w:name="_Toc18344"/>
      <w:bookmarkStart w:id="28" w:name="_Toc26287"/>
      <w:bookmarkStart w:id="29" w:name="_Toc8473"/>
      <w:bookmarkStart w:id="30" w:name="_Toc23103"/>
    </w:p>
    <w:p w14:paraId="5C7C45E2">
      <w:pPr>
        <w:tabs>
          <w:tab w:val="right" w:leader="dot" w:pos="9207"/>
        </w:tabs>
        <w:jc w:val="center"/>
        <w:rPr>
          <w:color w:val="auto"/>
          <w:highlight w:val="none"/>
        </w:rPr>
      </w:pPr>
    </w:p>
    <w:p w14:paraId="2EDE9DFE">
      <w:pPr>
        <w:pStyle w:val="3"/>
        <w:ind w:left="0" w:firstLine="0"/>
        <w:jc w:val="center"/>
        <w:rPr>
          <w:rFonts w:ascii="仿宋" w:hAnsi="仿宋" w:eastAsia="仿宋" w:cs="仿宋"/>
          <w:color w:val="auto"/>
          <w:sz w:val="44"/>
          <w:szCs w:val="24"/>
          <w:highlight w:val="none"/>
        </w:rPr>
      </w:pPr>
      <w:r>
        <w:rPr>
          <w:rFonts w:hint="eastAsia" w:ascii="仿宋" w:hAnsi="仿宋" w:eastAsia="仿宋" w:cs="仿宋"/>
          <w:color w:val="auto"/>
          <w:sz w:val="44"/>
          <w:szCs w:val="24"/>
          <w:highlight w:val="none"/>
        </w:rPr>
        <w:t>第一章  竞争性磋商公告</w:t>
      </w:r>
      <w:bookmarkEnd w:id="22"/>
      <w:bookmarkEnd w:id="23"/>
      <w:bookmarkEnd w:id="24"/>
      <w:bookmarkEnd w:id="25"/>
      <w:bookmarkEnd w:id="26"/>
      <w:bookmarkEnd w:id="27"/>
      <w:bookmarkEnd w:id="28"/>
      <w:bookmarkEnd w:id="29"/>
      <w:bookmarkEnd w:id="30"/>
    </w:p>
    <w:p w14:paraId="51491487">
      <w:pPr>
        <w:spacing w:beforeLines="50" w:afterLines="50" w:line="460" w:lineRule="exact"/>
        <w:jc w:val="center"/>
        <w:outlineLvl w:val="0"/>
        <w:rPr>
          <w:rFonts w:ascii="仿宋" w:hAnsi="仿宋" w:eastAsia="仿宋" w:cs="仿宋"/>
          <w:bCs/>
          <w:color w:val="auto"/>
          <w:sz w:val="32"/>
          <w:szCs w:val="32"/>
          <w:highlight w:val="none"/>
        </w:rPr>
      </w:pPr>
      <w:r>
        <w:rPr>
          <w:rFonts w:hint="eastAsia" w:ascii="仿宋" w:hAnsi="仿宋" w:eastAsia="仿宋" w:cs="仿宋"/>
          <w:bCs/>
          <w:color w:val="auto"/>
          <w:kern w:val="0"/>
          <w:sz w:val="32"/>
          <w:szCs w:val="32"/>
          <w:highlight w:val="none"/>
        </w:rPr>
        <w:t>云南省昆明市官渡区人民政府长水街道办事处202</w:t>
      </w:r>
      <w:r>
        <w:rPr>
          <w:rFonts w:hint="eastAsia" w:ascii="仿宋" w:hAnsi="仿宋" w:eastAsia="仿宋" w:cs="仿宋"/>
          <w:bCs/>
          <w:color w:val="auto"/>
          <w:kern w:val="0"/>
          <w:sz w:val="32"/>
          <w:szCs w:val="32"/>
          <w:highlight w:val="none"/>
          <w:lang w:val="en-US" w:eastAsia="zh-CN"/>
        </w:rPr>
        <w:t>5</w:t>
      </w:r>
      <w:r>
        <w:rPr>
          <w:rFonts w:hint="eastAsia" w:ascii="仿宋" w:hAnsi="仿宋" w:eastAsia="仿宋" w:cs="仿宋"/>
          <w:bCs/>
          <w:color w:val="auto"/>
          <w:kern w:val="0"/>
          <w:sz w:val="32"/>
          <w:szCs w:val="32"/>
          <w:highlight w:val="none"/>
        </w:rPr>
        <w:t>-202</w:t>
      </w:r>
      <w:r>
        <w:rPr>
          <w:rFonts w:hint="eastAsia" w:ascii="仿宋" w:hAnsi="仿宋" w:eastAsia="仿宋" w:cs="仿宋"/>
          <w:bCs/>
          <w:color w:val="auto"/>
          <w:kern w:val="0"/>
          <w:sz w:val="32"/>
          <w:szCs w:val="32"/>
          <w:highlight w:val="none"/>
          <w:lang w:val="en-US" w:eastAsia="zh-CN"/>
        </w:rPr>
        <w:t>6</w:t>
      </w:r>
      <w:r>
        <w:rPr>
          <w:rFonts w:hint="eastAsia" w:ascii="仿宋" w:hAnsi="仿宋" w:eastAsia="仿宋" w:cs="仿宋"/>
          <w:bCs/>
          <w:color w:val="auto"/>
          <w:kern w:val="0"/>
          <w:sz w:val="32"/>
          <w:szCs w:val="32"/>
          <w:highlight w:val="none"/>
        </w:rPr>
        <w:t>年度招标代理</w:t>
      </w:r>
      <w:r>
        <w:rPr>
          <w:rFonts w:hint="eastAsia" w:ascii="仿宋" w:hAnsi="仿宋" w:eastAsia="仿宋" w:cs="仿宋"/>
          <w:bCs/>
          <w:color w:val="auto"/>
          <w:kern w:val="0"/>
          <w:sz w:val="32"/>
          <w:szCs w:val="32"/>
          <w:highlight w:val="none"/>
          <w:lang w:val="en-US" w:eastAsia="zh-CN"/>
        </w:rPr>
        <w:t>服务单位采购</w:t>
      </w:r>
      <w:r>
        <w:rPr>
          <w:rFonts w:hint="eastAsia" w:ascii="仿宋" w:hAnsi="仿宋" w:eastAsia="仿宋" w:cs="仿宋"/>
          <w:bCs/>
          <w:color w:val="auto"/>
          <w:kern w:val="0"/>
          <w:sz w:val="32"/>
          <w:szCs w:val="32"/>
          <w:highlight w:val="none"/>
        </w:rPr>
        <w:t>竞争性磋商公告</w:t>
      </w:r>
    </w:p>
    <w:p w14:paraId="205A5C55">
      <w:pPr>
        <w:pBdr>
          <w:top w:val="single" w:color="auto" w:sz="4" w:space="1"/>
          <w:left w:val="single" w:color="auto" w:sz="4" w:space="4"/>
          <w:bottom w:val="single" w:color="auto" w:sz="4" w:space="1"/>
          <w:right w:val="single" w:color="auto" w:sz="4" w:space="4"/>
        </w:pBdr>
        <w:spacing w:line="360" w:lineRule="auto"/>
        <w:rPr>
          <w:rFonts w:ascii="仿宋" w:hAnsi="仿宋" w:eastAsia="仿宋" w:cs="仿宋"/>
          <w:bCs/>
          <w:color w:val="auto"/>
          <w:szCs w:val="21"/>
          <w:highlight w:val="none"/>
        </w:rPr>
      </w:pPr>
      <w:bookmarkStart w:id="31" w:name="_Toc26560"/>
      <w:r>
        <w:rPr>
          <w:rFonts w:hint="eastAsia" w:ascii="仿宋" w:hAnsi="仿宋" w:eastAsia="仿宋" w:cs="仿宋"/>
          <w:bCs/>
          <w:color w:val="auto"/>
          <w:szCs w:val="21"/>
          <w:highlight w:val="none"/>
        </w:rPr>
        <w:t>项目概况</w:t>
      </w:r>
    </w:p>
    <w:p w14:paraId="08DF3C81">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u w:val="single"/>
        </w:rPr>
        <w:t>云南省昆明市官渡区人民政府长水街道办事处202</w:t>
      </w:r>
      <w:r>
        <w:rPr>
          <w:rFonts w:hint="eastAsia" w:ascii="仿宋" w:hAnsi="仿宋" w:eastAsia="仿宋" w:cs="仿宋"/>
          <w:bCs/>
          <w:color w:val="auto"/>
          <w:szCs w:val="21"/>
          <w:highlight w:val="none"/>
          <w:u w:val="single"/>
          <w:lang w:val="en-US" w:eastAsia="zh-CN"/>
        </w:rPr>
        <w:t>5</w:t>
      </w:r>
      <w:r>
        <w:rPr>
          <w:rFonts w:hint="eastAsia" w:ascii="仿宋" w:hAnsi="仿宋" w:eastAsia="仿宋" w:cs="仿宋"/>
          <w:bCs/>
          <w:color w:val="auto"/>
          <w:szCs w:val="21"/>
          <w:highlight w:val="none"/>
          <w:u w:val="single"/>
        </w:rPr>
        <w:t>-202</w:t>
      </w:r>
      <w:r>
        <w:rPr>
          <w:rFonts w:hint="eastAsia" w:ascii="仿宋" w:hAnsi="仿宋" w:eastAsia="仿宋" w:cs="仿宋"/>
          <w:bCs/>
          <w:color w:val="auto"/>
          <w:szCs w:val="21"/>
          <w:highlight w:val="none"/>
          <w:u w:val="single"/>
          <w:lang w:val="en-US" w:eastAsia="zh-CN"/>
        </w:rPr>
        <w:t>6</w:t>
      </w:r>
      <w:r>
        <w:rPr>
          <w:rFonts w:hint="eastAsia" w:ascii="仿宋" w:hAnsi="仿宋" w:eastAsia="仿宋" w:cs="仿宋"/>
          <w:bCs/>
          <w:color w:val="auto"/>
          <w:szCs w:val="21"/>
          <w:highlight w:val="none"/>
          <w:u w:val="single"/>
        </w:rPr>
        <w:t>年度招标代理</w:t>
      </w:r>
      <w:r>
        <w:rPr>
          <w:rFonts w:hint="eastAsia" w:ascii="仿宋" w:hAnsi="仿宋" w:eastAsia="仿宋" w:cs="仿宋"/>
          <w:bCs/>
          <w:color w:val="auto"/>
          <w:szCs w:val="21"/>
          <w:highlight w:val="none"/>
          <w:u w:val="single"/>
          <w:lang w:val="en-US" w:eastAsia="zh-CN"/>
        </w:rPr>
        <w:t>服务单位采购</w:t>
      </w:r>
      <w:r>
        <w:rPr>
          <w:rFonts w:hint="eastAsia" w:ascii="仿宋" w:hAnsi="仿宋" w:eastAsia="仿宋" w:cs="仿宋"/>
          <w:bCs/>
          <w:color w:val="auto"/>
          <w:szCs w:val="21"/>
          <w:highlight w:val="none"/>
        </w:rPr>
        <w:t>的潜在供应商应在</w:t>
      </w:r>
      <w:r>
        <w:rPr>
          <w:rFonts w:hint="eastAsia" w:ascii="仿宋" w:hAnsi="仿宋" w:eastAsia="仿宋" w:cs="仿宋"/>
          <w:bCs/>
          <w:color w:val="auto"/>
          <w:szCs w:val="21"/>
          <w:highlight w:val="none"/>
          <w:u w:val="single"/>
          <w:lang w:val="en-US" w:eastAsia="zh-CN"/>
        </w:rPr>
        <w:t>《云南滇中新区门户网》上下载</w:t>
      </w:r>
      <w:r>
        <w:rPr>
          <w:rFonts w:hint="eastAsia" w:ascii="仿宋" w:hAnsi="仿宋" w:eastAsia="仿宋" w:cs="仿宋"/>
          <w:bCs/>
          <w:color w:val="auto"/>
          <w:szCs w:val="21"/>
          <w:highlight w:val="none"/>
          <w:lang w:val="en-US" w:eastAsia="zh-CN"/>
        </w:rPr>
        <w:t>获取</w:t>
      </w:r>
      <w:r>
        <w:rPr>
          <w:rFonts w:hint="eastAsia" w:ascii="仿宋" w:hAnsi="仿宋" w:eastAsia="仿宋" w:cs="仿宋"/>
          <w:bCs/>
          <w:color w:val="auto"/>
          <w:szCs w:val="21"/>
          <w:highlight w:val="none"/>
        </w:rPr>
        <w:t>竞争性磋商文件，并于</w:t>
      </w:r>
      <w:r>
        <w:rPr>
          <w:rFonts w:hint="eastAsia" w:ascii="仿宋" w:hAnsi="仿宋" w:eastAsia="仿宋" w:cs="仿宋"/>
          <w:bCs/>
          <w:color w:val="auto"/>
          <w:szCs w:val="21"/>
          <w:highlight w:val="none"/>
          <w:u w:val="single"/>
        </w:rPr>
        <w:t>2025年0</w:t>
      </w:r>
      <w:r>
        <w:rPr>
          <w:rFonts w:hint="eastAsia" w:ascii="仿宋" w:hAnsi="仿宋" w:eastAsia="仿宋" w:cs="仿宋"/>
          <w:bCs/>
          <w:color w:val="auto"/>
          <w:szCs w:val="21"/>
          <w:highlight w:val="none"/>
          <w:u w:val="single"/>
          <w:lang w:val="en-US" w:eastAsia="zh-CN"/>
        </w:rPr>
        <w:t>9</w:t>
      </w:r>
      <w:r>
        <w:rPr>
          <w:rFonts w:hint="eastAsia" w:ascii="仿宋" w:hAnsi="仿宋" w:eastAsia="仿宋" w:cs="仿宋"/>
          <w:bCs/>
          <w:color w:val="auto"/>
          <w:szCs w:val="21"/>
          <w:highlight w:val="none"/>
          <w:u w:val="single"/>
        </w:rPr>
        <w:t>月</w:t>
      </w:r>
      <w:r>
        <w:rPr>
          <w:rFonts w:hint="eastAsia" w:ascii="仿宋" w:hAnsi="仿宋" w:eastAsia="仿宋" w:cs="仿宋"/>
          <w:bCs/>
          <w:color w:val="auto"/>
          <w:szCs w:val="21"/>
          <w:highlight w:val="none"/>
          <w:u w:val="single"/>
          <w:lang w:val="en-US" w:eastAsia="zh-CN"/>
        </w:rPr>
        <w:t>30</w:t>
      </w:r>
      <w:r>
        <w:rPr>
          <w:rFonts w:hint="eastAsia" w:ascii="仿宋" w:hAnsi="仿宋" w:eastAsia="仿宋" w:cs="仿宋"/>
          <w:bCs/>
          <w:color w:val="auto"/>
          <w:szCs w:val="21"/>
          <w:highlight w:val="none"/>
          <w:u w:val="single"/>
        </w:rPr>
        <w:t>日14时00分</w:t>
      </w:r>
      <w:r>
        <w:rPr>
          <w:rFonts w:hint="eastAsia" w:ascii="仿宋" w:hAnsi="仿宋" w:eastAsia="仿宋" w:cs="仿宋"/>
          <w:bCs/>
          <w:color w:val="auto"/>
          <w:szCs w:val="21"/>
          <w:highlight w:val="none"/>
        </w:rPr>
        <w:t>（北京时间）前递交投标（响应）文件。</w:t>
      </w:r>
    </w:p>
    <w:p w14:paraId="3F8327D8">
      <w:pPr>
        <w:keepNext/>
        <w:keepLines/>
        <w:spacing w:line="420" w:lineRule="exact"/>
        <w:ind w:firstLine="420" w:firstLineChars="200"/>
        <w:outlineLvl w:val="1"/>
        <w:rPr>
          <w:rFonts w:ascii="仿宋" w:hAnsi="仿宋" w:eastAsia="仿宋" w:cs="仿宋"/>
          <w:bCs/>
          <w:color w:val="auto"/>
          <w:szCs w:val="21"/>
          <w:highlight w:val="none"/>
        </w:rPr>
      </w:pPr>
      <w:bookmarkStart w:id="32" w:name="_Toc29019"/>
      <w:r>
        <w:rPr>
          <w:rFonts w:hint="eastAsia" w:ascii="仿宋" w:hAnsi="仿宋" w:eastAsia="仿宋" w:cs="仿宋"/>
          <w:bCs/>
          <w:color w:val="auto"/>
          <w:szCs w:val="21"/>
          <w:highlight w:val="none"/>
        </w:rPr>
        <w:t>一、项目基本情况</w:t>
      </w:r>
      <w:bookmarkEnd w:id="31"/>
      <w:bookmarkEnd w:id="32"/>
    </w:p>
    <w:p w14:paraId="5562DCB4">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1</w:t>
      </w:r>
      <w:r>
        <w:rPr>
          <w:rFonts w:hint="eastAsia" w:ascii="仿宋" w:hAnsi="仿宋" w:eastAsia="仿宋" w:cs="仿宋"/>
          <w:bCs/>
          <w:color w:val="auto"/>
          <w:szCs w:val="21"/>
          <w:highlight w:val="none"/>
        </w:rPr>
        <w:t>.项目名称：云南省昆明市官渡区人民政府长水街道办事处202</w:t>
      </w: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6</w:t>
      </w:r>
      <w:r>
        <w:rPr>
          <w:rFonts w:hint="eastAsia" w:ascii="仿宋" w:hAnsi="仿宋" w:eastAsia="仿宋" w:cs="仿宋"/>
          <w:bCs/>
          <w:color w:val="auto"/>
          <w:szCs w:val="21"/>
          <w:highlight w:val="none"/>
        </w:rPr>
        <w:t>年度招标代理</w:t>
      </w:r>
      <w:r>
        <w:rPr>
          <w:rFonts w:hint="eastAsia" w:ascii="仿宋" w:hAnsi="仿宋" w:eastAsia="仿宋" w:cs="仿宋"/>
          <w:bCs/>
          <w:color w:val="auto"/>
          <w:szCs w:val="21"/>
          <w:highlight w:val="none"/>
          <w:lang w:val="en-US" w:eastAsia="zh-CN"/>
        </w:rPr>
        <w:t>服务单位采购。</w:t>
      </w:r>
    </w:p>
    <w:p w14:paraId="1701B45A">
      <w:pPr>
        <w:spacing w:line="420" w:lineRule="exact"/>
        <w:ind w:firstLine="420" w:firstLineChars="200"/>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lang w:val="en-US" w:eastAsia="zh-CN"/>
        </w:rPr>
        <w:t>2</w:t>
      </w:r>
      <w:r>
        <w:rPr>
          <w:rFonts w:hint="eastAsia" w:ascii="仿宋" w:hAnsi="仿宋" w:eastAsia="仿宋" w:cs="仿宋"/>
          <w:bCs/>
          <w:color w:val="auto"/>
          <w:szCs w:val="21"/>
          <w:highlight w:val="none"/>
        </w:rPr>
        <w:t>.采购方式：竞争性磋商</w:t>
      </w:r>
      <w:r>
        <w:rPr>
          <w:rFonts w:hint="eastAsia" w:ascii="仿宋" w:hAnsi="仿宋" w:eastAsia="仿宋" w:cs="仿宋"/>
          <w:bCs/>
          <w:color w:val="auto"/>
          <w:szCs w:val="21"/>
          <w:highlight w:val="none"/>
          <w:lang w:eastAsia="zh-CN"/>
        </w:rPr>
        <w:t>。</w:t>
      </w:r>
    </w:p>
    <w:p w14:paraId="628A7971">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.采购需求：公开择优评比出一家招标代理机构，负责</w:t>
      </w:r>
      <w:r>
        <w:rPr>
          <w:rFonts w:hint="eastAsia" w:ascii="仿宋" w:hAnsi="仿宋" w:eastAsia="仿宋" w:cs="仿宋"/>
          <w:color w:val="auto"/>
          <w:sz w:val="21"/>
          <w:szCs w:val="21"/>
          <w:lang w:val="en-US" w:eastAsia="zh-CN"/>
        </w:rPr>
        <w:t>长水街道办事处以及昆明长水国际机场改扩建工程和配套项目建设长水街道安置搬迁工作指挥部</w:t>
      </w:r>
      <w:r>
        <w:rPr>
          <w:rFonts w:hint="eastAsia" w:ascii="仿宋" w:hAnsi="仿宋" w:eastAsia="仿宋" w:cs="仿宋"/>
          <w:bCs/>
          <w:color w:val="auto"/>
          <w:szCs w:val="21"/>
          <w:highlight w:val="none"/>
        </w:rPr>
        <w:t>的招标代理服务业务</w:t>
      </w:r>
      <w:r>
        <w:rPr>
          <w:rFonts w:hint="eastAsia" w:ascii="仿宋" w:hAnsi="仿宋" w:eastAsia="仿宋" w:cs="仿宋"/>
          <w:bCs/>
          <w:color w:val="auto"/>
          <w:szCs w:val="21"/>
          <w:highlight w:val="none"/>
          <w:lang w:val="en-US" w:eastAsia="zh-CN"/>
        </w:rPr>
        <w:t>。包括但不限于以下服务工作内容：工程类、服务类及货物类等各类招标工作，具体招标代理服务内容以采购人实际委托的为准。</w:t>
      </w:r>
      <w:r>
        <w:rPr>
          <w:rFonts w:hint="eastAsia" w:ascii="仿宋" w:hAnsi="仿宋" w:eastAsia="仿宋" w:cs="仿宋"/>
          <w:bCs/>
          <w:color w:val="auto"/>
          <w:szCs w:val="21"/>
          <w:highlight w:val="none"/>
        </w:rPr>
        <w:t>具体要求及内容详见本采购文件第五章《采购需求》。</w:t>
      </w:r>
    </w:p>
    <w:p w14:paraId="4C357589">
      <w:pPr>
        <w:numPr>
          <w:ilvl w:val="0"/>
          <w:numId w:val="0"/>
        </w:numPr>
        <w:spacing w:line="420" w:lineRule="exact"/>
        <w:ind w:firstLine="420" w:firstLineChars="200"/>
        <w:rPr>
          <w:rFonts w:hint="eastAsia" w:ascii="仿宋" w:hAnsi="仿宋" w:eastAsia="仿宋" w:cs="仿宋"/>
          <w:bCs/>
          <w:color w:val="auto"/>
          <w:szCs w:val="21"/>
          <w:highlight w:val="none"/>
          <w:lang w:eastAsia="zh-CN"/>
        </w:rPr>
      </w:pPr>
      <w:r>
        <w:rPr>
          <w:rFonts w:hint="eastAsia" w:ascii="仿宋" w:hAnsi="仿宋" w:eastAsia="仿宋" w:cs="仿宋"/>
          <w:bCs/>
          <w:color w:val="auto"/>
          <w:kern w:val="2"/>
          <w:sz w:val="21"/>
          <w:szCs w:val="21"/>
          <w:highlight w:val="none"/>
          <w:lang w:val="en-US" w:eastAsia="zh-CN" w:bidi="ar-SA"/>
        </w:rPr>
        <w:t>4</w:t>
      </w:r>
      <w:r>
        <w:rPr>
          <w:rFonts w:ascii="仿宋" w:hAnsi="仿宋" w:eastAsia="仿宋" w:cs="仿宋"/>
          <w:bCs/>
          <w:color w:val="auto"/>
          <w:kern w:val="2"/>
          <w:sz w:val="21"/>
          <w:szCs w:val="21"/>
          <w:highlight w:val="none"/>
          <w:lang w:val="en-US" w:eastAsia="zh-CN" w:bidi="ar-SA"/>
        </w:rPr>
        <w:t>.</w:t>
      </w:r>
      <w:r>
        <w:rPr>
          <w:rFonts w:hint="eastAsia" w:ascii="仿宋" w:hAnsi="仿宋" w:eastAsia="仿宋" w:cs="仿宋"/>
          <w:bCs/>
          <w:color w:val="auto"/>
          <w:szCs w:val="21"/>
          <w:highlight w:val="none"/>
        </w:rPr>
        <w:t>服务期限：</w:t>
      </w:r>
      <w:r>
        <w:rPr>
          <w:rFonts w:hint="eastAsia" w:ascii="仿宋" w:hAnsi="仿宋" w:eastAsia="仿宋" w:cs="仿宋"/>
          <w:bCs/>
          <w:color w:val="auto"/>
          <w:szCs w:val="21"/>
          <w:highlight w:val="none"/>
          <w:lang w:val="en-US" w:eastAsia="zh-CN"/>
        </w:rPr>
        <w:t>自合同签订之日起一</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lang w:eastAsia="zh-CN"/>
        </w:rPr>
        <w:t>。</w:t>
      </w:r>
    </w:p>
    <w:p w14:paraId="2C2D1D39">
      <w:pPr>
        <w:numPr>
          <w:ilvl w:val="0"/>
          <w:numId w:val="0"/>
        </w:numPr>
        <w:spacing w:line="420" w:lineRule="exact"/>
        <w:ind w:firstLine="420" w:firstLineChars="200"/>
        <w:rPr>
          <w:rFonts w:hint="eastAsia" w:ascii="仿宋" w:hAnsi="仿宋" w:eastAsia="仿宋" w:cs="仿宋"/>
          <w:bCs/>
          <w:color w:val="auto"/>
          <w:szCs w:val="21"/>
          <w:highlight w:val="none"/>
          <w:lang w:eastAsia="zh-CN"/>
        </w:rPr>
      </w:pPr>
      <w:r>
        <w:rPr>
          <w:rFonts w:hint="eastAsia" w:ascii="仿宋" w:hAnsi="仿宋" w:eastAsia="仿宋" w:cs="仿宋"/>
          <w:bCs/>
          <w:color w:val="auto"/>
          <w:kern w:val="2"/>
          <w:sz w:val="21"/>
          <w:szCs w:val="21"/>
          <w:highlight w:val="none"/>
          <w:lang w:val="en-US" w:eastAsia="zh-CN" w:bidi="ar-SA"/>
        </w:rPr>
        <w:t>5</w:t>
      </w:r>
      <w:r>
        <w:rPr>
          <w:rFonts w:ascii="仿宋" w:hAnsi="仿宋" w:eastAsia="仿宋" w:cs="仿宋"/>
          <w:bCs/>
          <w:color w:val="auto"/>
          <w:kern w:val="2"/>
          <w:sz w:val="21"/>
          <w:szCs w:val="21"/>
          <w:highlight w:val="none"/>
          <w:lang w:val="en-US" w:eastAsia="zh-CN" w:bidi="ar-SA"/>
        </w:rPr>
        <w:t>.</w:t>
      </w:r>
      <w:r>
        <w:rPr>
          <w:rFonts w:hint="eastAsia" w:ascii="仿宋" w:hAnsi="仿宋" w:eastAsia="仿宋" w:cs="仿宋"/>
          <w:bCs/>
          <w:color w:val="auto"/>
          <w:szCs w:val="21"/>
          <w:highlight w:val="none"/>
        </w:rPr>
        <w:t>项目实施地点：采购人指定地点</w:t>
      </w:r>
      <w:r>
        <w:rPr>
          <w:rFonts w:hint="eastAsia" w:ascii="仿宋" w:hAnsi="仿宋" w:eastAsia="仿宋" w:cs="仿宋"/>
          <w:bCs/>
          <w:color w:val="auto"/>
          <w:szCs w:val="21"/>
          <w:highlight w:val="none"/>
          <w:lang w:eastAsia="zh-CN"/>
        </w:rPr>
        <w:t>。</w:t>
      </w:r>
    </w:p>
    <w:p w14:paraId="2689BA2F">
      <w:pPr>
        <w:numPr>
          <w:ilvl w:val="0"/>
          <w:numId w:val="0"/>
        </w:numPr>
        <w:spacing w:line="420" w:lineRule="exact"/>
        <w:ind w:firstLine="420" w:firstLineChars="200"/>
        <w:rPr>
          <w:rFonts w:hint="default" w:ascii="仿宋" w:hAnsi="仿宋" w:eastAsia="仿宋" w:cs="仿宋"/>
          <w:bCs/>
          <w:color w:val="auto"/>
          <w:kern w:val="2"/>
          <w:sz w:val="21"/>
          <w:szCs w:val="21"/>
          <w:highlight w:val="none"/>
          <w:lang w:val="en-US" w:eastAsia="zh-CN" w:bidi="ar-SA"/>
        </w:rPr>
      </w:pPr>
      <w:r>
        <w:rPr>
          <w:rFonts w:hint="eastAsia" w:ascii="仿宋" w:hAnsi="仿宋" w:eastAsia="仿宋" w:cs="仿宋"/>
          <w:bCs/>
          <w:color w:val="auto"/>
          <w:kern w:val="2"/>
          <w:sz w:val="21"/>
          <w:szCs w:val="21"/>
          <w:highlight w:val="none"/>
          <w:lang w:val="en-US" w:eastAsia="zh-CN" w:bidi="ar-SA"/>
        </w:rPr>
        <w:t>6.质量标准：满足国家、省、市招标投标相关法律法规的要求。</w:t>
      </w:r>
    </w:p>
    <w:p w14:paraId="2A60C7C6">
      <w:pPr>
        <w:numPr>
          <w:ilvl w:val="0"/>
          <w:numId w:val="0"/>
        </w:num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kern w:val="2"/>
          <w:sz w:val="21"/>
          <w:szCs w:val="21"/>
          <w:highlight w:val="none"/>
          <w:lang w:val="en-US" w:eastAsia="zh-CN" w:bidi="ar-SA"/>
        </w:rPr>
        <w:t>7</w:t>
      </w:r>
      <w:r>
        <w:rPr>
          <w:rFonts w:ascii="仿宋" w:hAnsi="仿宋" w:eastAsia="仿宋" w:cs="仿宋"/>
          <w:bCs/>
          <w:color w:val="auto"/>
          <w:kern w:val="2"/>
          <w:sz w:val="21"/>
          <w:szCs w:val="21"/>
          <w:highlight w:val="none"/>
          <w:lang w:val="en-US" w:eastAsia="zh-CN" w:bidi="ar-SA"/>
        </w:rPr>
        <w:t>.</w:t>
      </w:r>
      <w:r>
        <w:rPr>
          <w:rFonts w:hint="eastAsia" w:ascii="仿宋" w:hAnsi="仿宋" w:eastAsia="仿宋" w:cs="仿宋"/>
          <w:bCs/>
          <w:color w:val="auto"/>
          <w:szCs w:val="21"/>
          <w:highlight w:val="none"/>
        </w:rPr>
        <w:t>本项目不接受联合体参与磋商。</w:t>
      </w:r>
      <w:bookmarkStart w:id="33" w:name="_Toc24594"/>
    </w:p>
    <w:p w14:paraId="3093EDB6">
      <w:pPr>
        <w:keepNext/>
        <w:keepLines/>
        <w:spacing w:line="420" w:lineRule="exact"/>
        <w:ind w:firstLine="420" w:firstLineChars="200"/>
        <w:outlineLvl w:val="1"/>
        <w:rPr>
          <w:rFonts w:ascii="仿宋" w:hAnsi="仿宋" w:eastAsia="仿宋" w:cs="仿宋"/>
          <w:bCs/>
          <w:color w:val="auto"/>
          <w:szCs w:val="21"/>
          <w:highlight w:val="none"/>
        </w:rPr>
      </w:pPr>
      <w:bookmarkStart w:id="34" w:name="_Toc31099"/>
      <w:r>
        <w:rPr>
          <w:rFonts w:hint="eastAsia" w:ascii="仿宋" w:hAnsi="仿宋" w:eastAsia="仿宋" w:cs="仿宋"/>
          <w:bCs/>
          <w:color w:val="auto"/>
          <w:szCs w:val="21"/>
          <w:highlight w:val="none"/>
        </w:rPr>
        <w:t>二、申请人的资格要求</w:t>
      </w:r>
      <w:bookmarkEnd w:id="33"/>
      <w:bookmarkEnd w:id="34"/>
    </w:p>
    <w:p w14:paraId="2EF9EC20">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1.满足《中华人民共和国政府采购法》第二十二条规定：</w:t>
      </w:r>
    </w:p>
    <w:p w14:paraId="7E294AFB">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 xml:space="preserve">1.1 </w:t>
      </w:r>
      <w:bookmarkStart w:id="35" w:name="_Hlk129956863"/>
      <w:r>
        <w:rPr>
          <w:rFonts w:hint="eastAsia" w:ascii="仿宋" w:hAnsi="仿宋" w:eastAsia="仿宋" w:cs="仿宋"/>
          <w:color w:val="auto"/>
          <w:szCs w:val="21"/>
          <w:highlight w:val="none"/>
        </w:rPr>
        <w:t>具有独立承担民事责任的能力，供应商须在中华人民共和国境内注册：提供法人或者其他组织的营业执照等</w:t>
      </w:r>
      <w:r>
        <w:rPr>
          <w:rFonts w:hint="eastAsia" w:ascii="仿宋" w:hAnsi="仿宋" w:eastAsia="仿宋" w:cs="仿宋"/>
          <w:color w:val="auto"/>
          <w:szCs w:val="21"/>
          <w:highlight w:val="none"/>
          <w:lang w:val="en-US" w:eastAsia="zh-CN"/>
        </w:rPr>
        <w:t>法定</w:t>
      </w:r>
      <w:r>
        <w:rPr>
          <w:rFonts w:hint="eastAsia" w:ascii="仿宋" w:hAnsi="仿宋" w:eastAsia="仿宋" w:cs="仿宋"/>
          <w:color w:val="auto"/>
          <w:szCs w:val="21"/>
          <w:highlight w:val="none"/>
        </w:rPr>
        <w:t>证明文件</w:t>
      </w:r>
      <w:r>
        <w:rPr>
          <w:rFonts w:hint="eastAsia" w:ascii="仿宋" w:hAnsi="仿宋" w:eastAsia="仿宋" w:cs="仿宋"/>
          <w:bCs/>
          <w:color w:val="auto"/>
          <w:szCs w:val="21"/>
          <w:highlight w:val="none"/>
        </w:rPr>
        <w:t>。</w:t>
      </w:r>
      <w:bookmarkEnd w:id="35"/>
    </w:p>
    <w:p w14:paraId="0FFC0D78">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1.2 具有良好的商业信誉和健全的财务会计制度：</w:t>
      </w:r>
    </w:p>
    <w:p w14:paraId="3E8A078A">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1.2.1健全的财务会计制度：提供财务状况报告的相关材料，提供</w:t>
      </w:r>
      <w:r>
        <w:rPr>
          <w:rFonts w:hint="eastAsia" w:ascii="仿宋" w:hAnsi="仿宋" w:eastAsia="仿宋" w:cs="仿宋"/>
          <w:bCs/>
          <w:color w:val="auto"/>
          <w:szCs w:val="21"/>
          <w:highlight w:val="none"/>
          <w:lang w:val="en-US" w:eastAsia="zh-CN"/>
        </w:rPr>
        <w:t>近一年（</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年度或202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年度</w:t>
      </w:r>
      <w:r>
        <w:rPr>
          <w:rFonts w:hint="eastAsia" w:ascii="仿宋" w:hAnsi="仿宋" w:eastAsia="仿宋" w:cs="仿宋"/>
          <w:bCs/>
          <w:color w:val="auto"/>
          <w:szCs w:val="21"/>
          <w:highlight w:val="none"/>
          <w:lang w:val="en-US" w:eastAsia="zh-CN"/>
        </w:rPr>
        <w:t>）</w:t>
      </w:r>
      <w:r>
        <w:rPr>
          <w:rFonts w:hint="eastAsia" w:ascii="仿宋" w:hAnsi="仿宋" w:eastAsia="仿宋" w:cs="仿宋"/>
          <w:bCs/>
          <w:color w:val="auto"/>
          <w:szCs w:val="21"/>
          <w:highlight w:val="none"/>
        </w:rPr>
        <w:t>经第三方审计的审计报告(包括资产负债表、利润表、现金流量表)；供应商成立时间不足一年的或新成立的企业可提供自响应文件提交截止时间前三个月内开户银行出具的资信证明或资金存款证明或其他相关证明材料或说明。</w:t>
      </w:r>
    </w:p>
    <w:p w14:paraId="559C2ECF">
      <w:pPr>
        <w:pStyle w:val="57"/>
        <w:ind w:firstLine="422" w:firstLineChars="201"/>
        <w:jc w:val="both"/>
        <w:rPr>
          <w:rFonts w:ascii="仿宋" w:hAnsi="仿宋" w:eastAsia="仿宋" w:cs="仿宋"/>
          <w:bCs/>
          <w:color w:val="auto"/>
          <w:highlight w:val="none"/>
        </w:rPr>
      </w:pPr>
      <w:r>
        <w:rPr>
          <w:rFonts w:hint="eastAsia" w:ascii="仿宋" w:hAnsi="仿宋" w:eastAsia="仿宋" w:cs="仿宋"/>
          <w:bCs/>
          <w:color w:val="auto"/>
          <w:highlight w:val="none"/>
        </w:rPr>
        <w:t>1.2.2良好的商业信誉：供应商应在“信用中国”网站(www.creditchina.gov.cn)未被列入失信被执行人记录、重大税收违法失信主体、政府采购严重违法失信行为记录名单且在中国政府采购网(www.ccgp.gov.cn)没有政府采购严重违法失信行为记录(被禁止在一定期限内参加政府采购活动但期限届满的除外)，参与本项目的供应商信用查询截止时点：响应文件递交截止当天查询，并提交磋商小组(查询结果以采购人查询结果为准，并将查询记录留存，供应商无需再提供)。</w:t>
      </w:r>
    </w:p>
    <w:p w14:paraId="1290885C">
      <w:pPr>
        <w:spacing w:line="360" w:lineRule="auto"/>
        <w:ind w:firstLine="422" w:firstLineChars="201"/>
        <w:rPr>
          <w:rFonts w:hint="eastAsia" w:ascii="仿宋" w:hAnsi="仿宋" w:eastAsia="仿宋" w:cs="仿宋"/>
          <w:bCs/>
          <w:color w:val="auto"/>
          <w:szCs w:val="21"/>
          <w:highlight w:val="none"/>
          <w:lang w:eastAsia="zh-CN"/>
        </w:rPr>
      </w:pPr>
      <w:r>
        <w:rPr>
          <w:rFonts w:hint="eastAsia" w:ascii="仿宋" w:hAnsi="仿宋" w:eastAsia="仿宋" w:cs="仿宋"/>
          <w:bCs/>
          <w:color w:val="auto"/>
          <w:szCs w:val="21"/>
          <w:highlight w:val="none"/>
        </w:rPr>
        <w:t>1.3</w:t>
      </w:r>
      <w:bookmarkStart w:id="36" w:name="_Hlk129956936"/>
      <w:r>
        <w:rPr>
          <w:rFonts w:hint="eastAsia" w:ascii="仿宋" w:hAnsi="仿宋" w:eastAsia="仿宋" w:cs="仿宋"/>
          <w:bCs/>
          <w:color w:val="auto"/>
          <w:szCs w:val="21"/>
          <w:highlight w:val="none"/>
        </w:rPr>
        <w:t>具备履行合同所必需的设备和专业技术能力（提供声明函或相关证明材料）</w:t>
      </w:r>
      <w:bookmarkEnd w:id="36"/>
      <w:r>
        <w:rPr>
          <w:rFonts w:hint="eastAsia" w:ascii="仿宋" w:hAnsi="仿宋" w:eastAsia="仿宋" w:cs="仿宋"/>
          <w:bCs/>
          <w:color w:val="auto"/>
          <w:szCs w:val="21"/>
          <w:highlight w:val="none"/>
          <w:lang w:eastAsia="zh-CN"/>
        </w:rPr>
        <w:t>。</w:t>
      </w:r>
    </w:p>
    <w:p w14:paraId="0AD63DF2">
      <w:pPr>
        <w:spacing w:line="360" w:lineRule="auto"/>
        <w:ind w:firstLine="422" w:firstLineChars="201"/>
        <w:rPr>
          <w:rFonts w:ascii="仿宋" w:hAnsi="仿宋" w:eastAsia="仿宋" w:cs="仿宋"/>
          <w:bCs/>
          <w:color w:val="auto"/>
          <w:szCs w:val="21"/>
          <w:highlight w:val="none"/>
        </w:rPr>
      </w:pPr>
      <w:r>
        <w:rPr>
          <w:rFonts w:hint="eastAsia" w:ascii="仿宋" w:hAnsi="仿宋" w:eastAsia="仿宋" w:cs="仿宋"/>
          <w:bCs/>
          <w:color w:val="auto"/>
          <w:szCs w:val="21"/>
          <w:highlight w:val="none"/>
        </w:rPr>
        <w:t>1.4</w:t>
      </w:r>
      <w:bookmarkStart w:id="37" w:name="_Hlk129956968"/>
      <w:r>
        <w:rPr>
          <w:rFonts w:hint="eastAsia" w:ascii="仿宋" w:hAnsi="仿宋" w:eastAsia="仿宋" w:cs="仿宋"/>
          <w:bCs/>
          <w:color w:val="auto"/>
          <w:szCs w:val="21"/>
          <w:highlight w:val="none"/>
        </w:rPr>
        <w:t>供应商须具有依法缴纳税收和社会保障资金的良好记录</w:t>
      </w:r>
      <w:bookmarkEnd w:id="37"/>
      <w:r>
        <w:rPr>
          <w:rFonts w:hint="eastAsia" w:ascii="仿宋" w:hAnsi="仿宋" w:eastAsia="仿宋" w:cs="仿宋"/>
          <w:bCs/>
          <w:color w:val="auto"/>
          <w:szCs w:val="21"/>
          <w:highlight w:val="none"/>
        </w:rPr>
        <w:t>：</w:t>
      </w:r>
    </w:p>
    <w:p w14:paraId="2772F418">
      <w:pPr>
        <w:spacing w:line="360" w:lineRule="auto"/>
        <w:ind w:firstLine="422" w:firstLineChars="201"/>
        <w:rPr>
          <w:rFonts w:ascii="仿宋" w:hAnsi="仿宋" w:eastAsia="仿宋" w:cs="仿宋"/>
          <w:bCs/>
          <w:color w:val="auto"/>
          <w:szCs w:val="21"/>
          <w:highlight w:val="none"/>
        </w:rPr>
      </w:pPr>
      <w:r>
        <w:rPr>
          <w:rFonts w:hint="eastAsia" w:ascii="仿宋" w:hAnsi="仿宋" w:eastAsia="仿宋" w:cs="仿宋"/>
          <w:bCs/>
          <w:color w:val="auto"/>
          <w:szCs w:val="21"/>
          <w:highlight w:val="none"/>
        </w:rPr>
        <w:t>1.4.1缴纳税收：供应商须提供缴税所属时间在2024年</w:t>
      </w:r>
      <w:r>
        <w:rPr>
          <w:rFonts w:hint="eastAsia" w:ascii="仿宋" w:hAnsi="仿宋" w:eastAsia="仿宋" w:cs="仿宋"/>
          <w:bCs/>
          <w:color w:val="auto"/>
          <w:szCs w:val="21"/>
          <w:highlight w:val="none"/>
          <w:lang w:val="en-US" w:eastAsia="zh-CN"/>
        </w:rPr>
        <w:t>8</w:t>
      </w:r>
      <w:r>
        <w:rPr>
          <w:rFonts w:hint="eastAsia" w:ascii="仿宋" w:hAnsi="仿宋" w:eastAsia="仿宋" w:cs="仿宋"/>
          <w:bCs/>
          <w:color w:val="auto"/>
          <w:szCs w:val="21"/>
          <w:highlight w:val="none"/>
        </w:rPr>
        <w:t>月至本项目响应文件提交截止时间前任意</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个月的税务局税收通用缴款书或银行电子缴税（费）凭证或税务局出具纳税情况的相关证明。依法免缴的，应提供依法免缴的相关证明文件或说明，新成立的企业提供相关说明。</w:t>
      </w:r>
    </w:p>
    <w:p w14:paraId="63B4C208">
      <w:pPr>
        <w:spacing w:line="360" w:lineRule="auto"/>
        <w:ind w:firstLine="422" w:firstLineChars="201"/>
        <w:rPr>
          <w:rFonts w:ascii="仿宋" w:hAnsi="仿宋" w:eastAsia="仿宋" w:cs="仿宋"/>
          <w:bCs/>
          <w:color w:val="auto"/>
          <w:szCs w:val="21"/>
          <w:highlight w:val="none"/>
        </w:rPr>
      </w:pPr>
      <w:r>
        <w:rPr>
          <w:rFonts w:hint="eastAsia" w:ascii="仿宋" w:hAnsi="仿宋" w:eastAsia="仿宋" w:cs="仿宋"/>
          <w:bCs/>
          <w:color w:val="auto"/>
          <w:szCs w:val="21"/>
          <w:highlight w:val="none"/>
        </w:rPr>
        <w:t>1.4.2缴纳社会保障资金：供应商须提供缴费所属时间在2024年</w:t>
      </w:r>
      <w:r>
        <w:rPr>
          <w:rFonts w:hint="eastAsia" w:ascii="仿宋" w:hAnsi="仿宋" w:eastAsia="仿宋" w:cs="仿宋"/>
          <w:bCs/>
          <w:color w:val="auto"/>
          <w:szCs w:val="21"/>
          <w:highlight w:val="none"/>
          <w:lang w:val="en-US" w:eastAsia="zh-CN"/>
        </w:rPr>
        <w:t>8</w:t>
      </w:r>
      <w:r>
        <w:rPr>
          <w:rFonts w:hint="eastAsia" w:ascii="仿宋" w:hAnsi="仿宋" w:eastAsia="仿宋" w:cs="仿宋"/>
          <w:bCs/>
          <w:color w:val="auto"/>
          <w:szCs w:val="21"/>
          <w:highlight w:val="none"/>
        </w:rPr>
        <w:t>月至本项目响应文件提交截止时间前任意</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个月的社会保险费缴款书或银行电子缴税（费）凭证或社保管理部门出具的有效的缴款证明，依法免缴的，应提供依法免缴的相关证明文件，新成立的企业提供相关说明。</w:t>
      </w:r>
    </w:p>
    <w:p w14:paraId="1F5CF525">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1.5</w:t>
      </w:r>
      <w:bookmarkStart w:id="38" w:name="_Hlk111476797"/>
      <w:r>
        <w:rPr>
          <w:rFonts w:hint="eastAsia" w:ascii="仿宋" w:hAnsi="仿宋" w:eastAsia="仿宋" w:cs="仿宋"/>
          <w:bCs/>
          <w:color w:val="auto"/>
          <w:szCs w:val="21"/>
          <w:highlight w:val="none"/>
        </w:rPr>
        <w:t>参与本次采购活动前三年内，在经营活动中没有重大违法记录，提供参加本次采购活动前三年内在经营活动中没有重大违法记录的书面声明</w:t>
      </w:r>
      <w:bookmarkEnd w:id="38"/>
      <w:r>
        <w:rPr>
          <w:rFonts w:hint="eastAsia" w:ascii="仿宋" w:hAnsi="仿宋" w:eastAsia="仿宋" w:cs="仿宋"/>
          <w:bCs/>
          <w:color w:val="auto"/>
          <w:szCs w:val="21"/>
          <w:highlight w:val="none"/>
        </w:rPr>
        <w:t>。</w:t>
      </w:r>
    </w:p>
    <w:p w14:paraId="247409D3">
      <w:pPr>
        <w:numPr>
          <w:ilvl w:val="0"/>
          <w:numId w:val="1"/>
        </w:numPr>
        <w:spacing w:line="420" w:lineRule="exact"/>
        <w:ind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rPr>
        <w:t>落实政府采购政策需满足的资格要求：</w:t>
      </w:r>
      <w:r>
        <w:rPr>
          <w:rFonts w:hint="eastAsia" w:ascii="仿宋" w:hAnsi="仿宋" w:eastAsia="仿宋" w:cs="仿宋"/>
          <w:bCs/>
          <w:color w:val="auto"/>
          <w:szCs w:val="21"/>
          <w:highlight w:val="none"/>
          <w:lang w:val="en-US" w:eastAsia="zh-CN"/>
        </w:rPr>
        <w:t>无。</w:t>
      </w:r>
    </w:p>
    <w:p w14:paraId="3ABC3B87">
      <w:pPr>
        <w:numPr>
          <w:ilvl w:val="0"/>
          <w:numId w:val="1"/>
        </w:numPr>
        <w:spacing w:line="420" w:lineRule="exact"/>
        <w:ind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rPr>
        <w:t>本项目的特定资格要求：</w:t>
      </w:r>
      <w:r>
        <w:rPr>
          <w:rFonts w:hint="eastAsia" w:ascii="仿宋" w:hAnsi="仿宋" w:eastAsia="仿宋" w:cs="仿宋"/>
          <w:bCs/>
          <w:color w:val="auto"/>
          <w:szCs w:val="21"/>
          <w:highlight w:val="none"/>
          <w:lang w:val="en-US" w:eastAsia="zh-CN"/>
        </w:rPr>
        <w:t xml:space="preserve"> </w:t>
      </w:r>
    </w:p>
    <w:p w14:paraId="2A93FF82">
      <w:pPr>
        <w:spacing w:line="420" w:lineRule="exact"/>
        <w:ind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3.1项目负责人：具备招标代理机构从业人员资格证书（或等同于上述证书），并提供在本单位社会保险机构（社保机构）出具的社保证明。</w:t>
      </w:r>
    </w:p>
    <w:p w14:paraId="2774378E">
      <w:pPr>
        <w:spacing w:line="420" w:lineRule="exact"/>
        <w:ind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3.2项目组成员：拟派往本项目的项目组成员不少于（含）5人，并提供项目组成员关系在本单位社会保险机构（社保机构）出具的社保证明。</w:t>
      </w:r>
    </w:p>
    <w:p w14:paraId="170ABF75">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4.本次采购</w:t>
      </w:r>
      <w:r>
        <w:rPr>
          <w:rFonts w:hint="eastAsia" w:ascii="仿宋" w:hAnsi="仿宋" w:eastAsia="仿宋" w:cs="仿宋"/>
          <w:bCs/>
          <w:color w:val="auto"/>
          <w:szCs w:val="21"/>
          <w:highlight w:val="none"/>
          <w:u w:val="single"/>
        </w:rPr>
        <w:t>不接受</w:t>
      </w:r>
      <w:r>
        <w:rPr>
          <w:rFonts w:hint="eastAsia" w:ascii="仿宋" w:hAnsi="仿宋" w:eastAsia="仿宋" w:cs="仿宋"/>
          <w:bCs/>
          <w:color w:val="auto"/>
          <w:szCs w:val="21"/>
          <w:highlight w:val="none"/>
        </w:rPr>
        <w:t>联合体参与磋商。</w:t>
      </w:r>
    </w:p>
    <w:p w14:paraId="5966921E">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5.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bookmarkStart w:id="39" w:name="_Toc27106"/>
      <w:bookmarkStart w:id="40" w:name="_Toc2809"/>
    </w:p>
    <w:p w14:paraId="4C53B1D5">
      <w:pPr>
        <w:spacing w:line="420" w:lineRule="exact"/>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三、竞争性磋商文件的获取</w:t>
      </w:r>
    </w:p>
    <w:p w14:paraId="6C8A50E2">
      <w:pPr>
        <w:spacing w:line="360" w:lineRule="auto"/>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3.1 时间：2025年9月20日09时00分（北京时间，下同）至2025年9月26日17时00分。</w:t>
      </w:r>
    </w:p>
    <w:p w14:paraId="26D10D91">
      <w:pPr>
        <w:spacing w:line="420" w:lineRule="exact"/>
        <w:ind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3.2方式：凡有意参加供应商须将：（1）营业执照或事业单位法人证书或其他类似的法定证明文件（加盖单位公章）原件扫描件；（2）法定代表人身份证明书及身份证（法定代表人获取竞争性磋商文件时提供）原件扫描件；（3）法定代表人身份证明书、法定代表人授权委托书、代理人身份证（代理人获取竞争性磋商文件时提供，授权委托书须写明项目名称 ）原件扫描件；</w:t>
      </w:r>
      <w:r>
        <w:rPr>
          <w:rFonts w:hint="eastAsia" w:ascii="仿宋" w:hAnsi="仿宋" w:eastAsia="仿宋" w:cs="仿宋"/>
          <w:bCs/>
          <w:color w:val="auto"/>
          <w:szCs w:val="21"/>
          <w:highlight w:val="none"/>
          <w:lang w:val="en-US" w:eastAsia="zh-CN"/>
        </w:rPr>
        <w:fldChar w:fldCharType="begin"/>
      </w:r>
      <w:r>
        <w:rPr>
          <w:rFonts w:hint="eastAsia" w:ascii="仿宋" w:hAnsi="仿宋" w:eastAsia="仿宋" w:cs="仿宋"/>
          <w:bCs/>
          <w:color w:val="auto"/>
          <w:szCs w:val="21"/>
          <w:highlight w:val="none"/>
          <w:lang w:val="en-US" w:eastAsia="zh-CN"/>
        </w:rPr>
        <w:instrText xml:space="preserve"> HYPERLINK "mailto:%E4%B8%8A%E8%BF%B0%E6%8A%A5%E5%90%8D%E6%9D%90%E6%96%99%E5%8F%91%E9%80%81%E8%87%B340173788@qq.com" </w:instrText>
      </w:r>
      <w:r>
        <w:rPr>
          <w:rFonts w:hint="eastAsia" w:ascii="仿宋" w:hAnsi="仿宋" w:eastAsia="仿宋" w:cs="仿宋"/>
          <w:bCs/>
          <w:color w:val="auto"/>
          <w:szCs w:val="21"/>
          <w:highlight w:val="none"/>
          <w:lang w:val="en-US" w:eastAsia="zh-CN"/>
        </w:rPr>
        <w:fldChar w:fldCharType="separate"/>
      </w:r>
      <w:r>
        <w:rPr>
          <w:rFonts w:hint="eastAsia" w:ascii="仿宋" w:hAnsi="仿宋" w:eastAsia="仿宋" w:cs="仿宋"/>
          <w:bCs/>
          <w:color w:val="auto"/>
          <w:szCs w:val="21"/>
          <w:highlight w:val="none"/>
          <w:lang w:val="en-US" w:eastAsia="zh-CN"/>
        </w:rPr>
        <w:t>上述报名材料发送至</w:t>
      </w:r>
      <w:r>
        <w:rPr>
          <w:rFonts w:hint="eastAsia" w:ascii="仿宋" w:hAnsi="仿宋" w:eastAsia="仿宋" w:cs="仿宋"/>
          <w:bCs/>
          <w:color w:val="auto"/>
          <w:szCs w:val="21"/>
          <w:highlight w:val="none"/>
          <w:lang w:val="en-US" w:eastAsia="zh-CN"/>
        </w:rPr>
        <w:fldChar w:fldCharType="end"/>
      </w:r>
      <w:r>
        <w:rPr>
          <w:rFonts w:hint="eastAsia" w:ascii="仿宋" w:hAnsi="仿宋" w:eastAsia="仿宋" w:cs="仿宋"/>
          <w:bCs/>
          <w:color w:val="auto"/>
          <w:szCs w:val="21"/>
          <w:highlight w:val="none"/>
          <w:lang w:val="en-US" w:eastAsia="zh-CN"/>
        </w:rPr>
        <w:t>605706842@qq.com邮箱，采购人审核通过并将电子版《竞争性磋商文件》回复至供应商发送获取竞争性磋商文件材料的邮箱，即供应商具备参加本项目磋商资格。</w:t>
      </w:r>
    </w:p>
    <w:p w14:paraId="4DFA2C5E">
      <w:pPr>
        <w:spacing w:line="420" w:lineRule="exact"/>
        <w:ind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3. 3售价：竞争性磋商文件每套售价0.00元。</w:t>
      </w:r>
    </w:p>
    <w:bookmarkEnd w:id="39"/>
    <w:bookmarkEnd w:id="40"/>
    <w:p w14:paraId="62E64B7A">
      <w:pPr>
        <w:keepNext w:val="0"/>
        <w:keepLines w:val="0"/>
        <w:spacing w:line="420" w:lineRule="exact"/>
        <w:ind w:firstLine="420" w:firstLineChars="200"/>
        <w:outlineLvl w:val="1"/>
        <w:rPr>
          <w:rFonts w:ascii="仿宋" w:hAnsi="仿宋" w:eastAsia="仿宋" w:cs="仿宋"/>
          <w:bCs/>
          <w:color w:val="auto"/>
          <w:szCs w:val="21"/>
          <w:highlight w:val="none"/>
        </w:rPr>
      </w:pPr>
      <w:bookmarkStart w:id="41" w:name="_Toc19988"/>
      <w:bookmarkStart w:id="42" w:name="_Toc28767"/>
      <w:r>
        <w:rPr>
          <w:rFonts w:hint="eastAsia" w:ascii="仿宋" w:hAnsi="仿宋" w:eastAsia="仿宋" w:cs="仿宋"/>
          <w:bCs/>
          <w:color w:val="auto"/>
          <w:szCs w:val="21"/>
          <w:highlight w:val="none"/>
          <w:lang w:val="en-US" w:eastAsia="zh-CN"/>
        </w:rPr>
        <w:t>四</w:t>
      </w:r>
      <w:r>
        <w:rPr>
          <w:rFonts w:hint="eastAsia" w:ascii="仿宋" w:hAnsi="仿宋" w:eastAsia="仿宋" w:cs="仿宋"/>
          <w:bCs/>
          <w:color w:val="auto"/>
          <w:szCs w:val="21"/>
          <w:highlight w:val="none"/>
        </w:rPr>
        <w:t>、响应文件</w:t>
      </w:r>
      <w:r>
        <w:rPr>
          <w:rFonts w:hint="eastAsia" w:ascii="仿宋" w:hAnsi="仿宋" w:eastAsia="仿宋" w:cs="仿宋"/>
          <w:bCs/>
          <w:color w:val="auto"/>
          <w:szCs w:val="21"/>
          <w:highlight w:val="none"/>
          <w:lang w:val="en-US" w:eastAsia="zh-CN"/>
        </w:rPr>
        <w:t>的递</w:t>
      </w:r>
      <w:r>
        <w:rPr>
          <w:rFonts w:hint="eastAsia" w:ascii="仿宋" w:hAnsi="仿宋" w:eastAsia="仿宋" w:cs="仿宋"/>
          <w:bCs/>
          <w:color w:val="auto"/>
          <w:szCs w:val="21"/>
          <w:highlight w:val="none"/>
        </w:rPr>
        <w:t>交</w:t>
      </w:r>
      <w:bookmarkEnd w:id="41"/>
    </w:p>
    <w:bookmarkEnd w:id="42"/>
    <w:p w14:paraId="78F0B7F2">
      <w:pPr>
        <w:keepNext w:val="0"/>
        <w:keepLines w:val="0"/>
        <w:spacing w:line="420" w:lineRule="exact"/>
        <w:ind w:firstLine="420" w:firstLineChars="200"/>
        <w:outlineLvl w:val="1"/>
        <w:rPr>
          <w:rFonts w:ascii="仿宋" w:hAnsi="仿宋" w:eastAsia="仿宋" w:cs="仿宋"/>
          <w:bCs/>
          <w:color w:val="auto"/>
          <w:szCs w:val="21"/>
          <w:highlight w:val="none"/>
        </w:rPr>
      </w:pPr>
      <w:bookmarkStart w:id="43" w:name="_Toc14672"/>
      <w:bookmarkStart w:id="44" w:name="_Toc26829"/>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.1 响应文件递交的截止时间为2025年0</w:t>
      </w: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lang w:val="en-US" w:eastAsia="zh-CN"/>
        </w:rPr>
        <w:t>30</w:t>
      </w:r>
      <w:r>
        <w:rPr>
          <w:rFonts w:hint="eastAsia" w:ascii="仿宋" w:hAnsi="仿宋" w:eastAsia="仿宋" w:cs="仿宋"/>
          <w:bCs/>
          <w:color w:val="auto"/>
          <w:szCs w:val="21"/>
          <w:highlight w:val="none"/>
        </w:rPr>
        <w:t>日14时00分，地点为</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昆</w:t>
      </w:r>
      <w:r>
        <w:rPr>
          <w:rFonts w:hint="eastAsia" w:ascii="仿宋" w:hAnsi="仿宋" w:eastAsia="仿宋" w:cs="仿宋"/>
          <w:bCs/>
          <w:color w:val="auto"/>
          <w:szCs w:val="21"/>
          <w:highlight w:val="none"/>
        </w:rPr>
        <w:t>明市官渡区人民政府长水街道办事处（昆明市官渡区滇中保障房宝河家园（C3地块）11栋）</w:t>
      </w:r>
      <w:r>
        <w:rPr>
          <w:rFonts w:hint="eastAsia" w:ascii="仿宋" w:hAnsi="仿宋" w:eastAsia="仿宋" w:cs="仿宋"/>
          <w:bCs/>
          <w:color w:val="auto"/>
          <w:szCs w:val="21"/>
          <w:highlight w:val="none"/>
          <w:lang w:val="en-US" w:eastAsia="zh-CN"/>
        </w:rPr>
        <w:t>223号会议室</w:t>
      </w:r>
      <w:r>
        <w:rPr>
          <w:rFonts w:hint="eastAsia" w:ascii="仿宋" w:hAnsi="仿宋" w:eastAsia="仿宋" w:cs="仿宋"/>
          <w:bCs/>
          <w:color w:val="auto"/>
          <w:szCs w:val="21"/>
          <w:highlight w:val="none"/>
        </w:rPr>
        <w:t>。</w:t>
      </w:r>
      <w:bookmarkEnd w:id="43"/>
    </w:p>
    <w:p w14:paraId="4AA13EAC">
      <w:pPr>
        <w:keepNext w:val="0"/>
        <w:keepLines w:val="0"/>
        <w:spacing w:line="420" w:lineRule="exact"/>
        <w:ind w:firstLine="420" w:firstLineChars="200"/>
        <w:outlineLvl w:val="1"/>
        <w:rPr>
          <w:rFonts w:hint="eastAsia" w:ascii="仿宋" w:hAnsi="仿宋" w:eastAsia="仿宋" w:cs="仿宋"/>
          <w:bCs/>
          <w:color w:val="auto"/>
          <w:szCs w:val="21"/>
          <w:highlight w:val="none"/>
          <w:lang w:eastAsia="zh-CN"/>
        </w:rPr>
      </w:pPr>
      <w:bookmarkStart w:id="45" w:name="_Toc17684"/>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.2供应商须在竞争性磋商文件要求的响应文件递交截止时间前，按竞争性磋商文件的要求，将密封完好的响应文件送达指定地点</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昆</w:t>
      </w:r>
      <w:r>
        <w:rPr>
          <w:rFonts w:hint="eastAsia" w:ascii="仿宋" w:hAnsi="仿宋" w:eastAsia="仿宋" w:cs="仿宋"/>
          <w:bCs/>
          <w:color w:val="auto"/>
          <w:szCs w:val="21"/>
          <w:highlight w:val="none"/>
        </w:rPr>
        <w:t>明市官渡区人民政府长水街道办事处（昆明市官渡区滇中保障房宝河家园（C3地块）11栋）</w:t>
      </w:r>
      <w:r>
        <w:rPr>
          <w:rFonts w:hint="eastAsia" w:ascii="仿宋" w:hAnsi="仿宋" w:eastAsia="仿宋" w:cs="仿宋"/>
          <w:bCs/>
          <w:color w:val="auto"/>
          <w:szCs w:val="21"/>
          <w:highlight w:val="none"/>
          <w:lang w:val="en-US" w:eastAsia="zh-CN"/>
        </w:rPr>
        <w:t>223号会议室</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供应商的法定代表人或其授权代理人准时参加；在截止时间后送达的响应文件或者未送达指定地点的响应文件为无效文件，采购人将拒收。</w:t>
      </w:r>
    </w:p>
    <w:p w14:paraId="0C184AD4">
      <w:pPr>
        <w:keepNext w:val="0"/>
        <w:keepLines w:val="0"/>
        <w:spacing w:line="420" w:lineRule="exact"/>
        <w:ind w:firstLine="420" w:firstLineChars="200"/>
        <w:outlineLvl w:val="1"/>
        <w:rPr>
          <w:rFonts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4.3</w:t>
      </w:r>
      <w:r>
        <w:rPr>
          <w:rFonts w:hint="eastAsia" w:ascii="仿宋" w:hAnsi="仿宋" w:eastAsia="仿宋" w:cs="仿宋"/>
          <w:bCs/>
          <w:color w:val="auto"/>
          <w:szCs w:val="21"/>
          <w:highlight w:val="none"/>
        </w:rPr>
        <w:t>供应商</w:t>
      </w:r>
      <w:r>
        <w:rPr>
          <w:rFonts w:hint="eastAsia" w:ascii="仿宋" w:hAnsi="仿宋" w:eastAsia="仿宋" w:cs="仿宋"/>
          <w:bCs/>
          <w:color w:val="auto"/>
          <w:szCs w:val="21"/>
          <w:highlight w:val="none"/>
          <w:lang w:val="en-US" w:eastAsia="zh-CN"/>
        </w:rPr>
        <w:t>递</w:t>
      </w:r>
      <w:r>
        <w:rPr>
          <w:rFonts w:hint="eastAsia" w:ascii="仿宋" w:hAnsi="仿宋" w:eastAsia="仿宋" w:cs="仿宋"/>
          <w:bCs/>
          <w:color w:val="auto"/>
          <w:szCs w:val="21"/>
          <w:highlight w:val="none"/>
        </w:rPr>
        <w:t>交响应文件时，需携带法定代表人证明书及授权委托书（原件）、经办人身份证（原件），逾期送达或者未送达指定地点的响应文件，采购人不予受理。</w:t>
      </w:r>
      <w:bookmarkEnd w:id="45"/>
    </w:p>
    <w:p w14:paraId="028BA39A">
      <w:pPr>
        <w:keepNext/>
        <w:keepLines/>
        <w:spacing w:line="420" w:lineRule="exact"/>
        <w:ind w:firstLine="420" w:firstLineChars="200"/>
        <w:outlineLvl w:val="1"/>
        <w:rPr>
          <w:rFonts w:ascii="仿宋" w:hAnsi="仿宋" w:eastAsia="仿宋" w:cs="仿宋"/>
          <w:bCs/>
          <w:color w:val="auto"/>
          <w:szCs w:val="21"/>
          <w:highlight w:val="none"/>
        </w:rPr>
      </w:pPr>
      <w:bookmarkStart w:id="46" w:name="_Toc12555"/>
      <w:r>
        <w:rPr>
          <w:rFonts w:hint="eastAsia" w:ascii="仿宋" w:hAnsi="仿宋" w:eastAsia="仿宋" w:cs="仿宋"/>
          <w:bCs/>
          <w:color w:val="auto"/>
          <w:szCs w:val="21"/>
          <w:highlight w:val="none"/>
          <w:lang w:val="en-US" w:eastAsia="zh-CN"/>
        </w:rPr>
        <w:t>五</w:t>
      </w:r>
      <w:r>
        <w:rPr>
          <w:rFonts w:hint="eastAsia" w:ascii="仿宋" w:hAnsi="仿宋" w:eastAsia="仿宋" w:cs="仿宋"/>
          <w:bCs/>
          <w:color w:val="auto"/>
          <w:szCs w:val="21"/>
          <w:highlight w:val="none"/>
        </w:rPr>
        <w:t>、开启</w:t>
      </w:r>
      <w:bookmarkEnd w:id="44"/>
      <w:bookmarkEnd w:id="46"/>
    </w:p>
    <w:p w14:paraId="24D1D9CC">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.1时间：2025年0</w:t>
      </w: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lang w:val="en-US" w:eastAsia="zh-CN"/>
        </w:rPr>
        <w:t>30</w:t>
      </w:r>
      <w:r>
        <w:rPr>
          <w:rFonts w:hint="eastAsia" w:ascii="仿宋" w:hAnsi="仿宋" w:eastAsia="仿宋" w:cs="仿宋"/>
          <w:bCs/>
          <w:color w:val="auto"/>
          <w:szCs w:val="21"/>
          <w:highlight w:val="none"/>
        </w:rPr>
        <w:t>日14时00分北京时间。</w:t>
      </w:r>
    </w:p>
    <w:p w14:paraId="12123760">
      <w:pPr>
        <w:spacing w:line="420" w:lineRule="exact"/>
        <w:ind w:firstLine="420" w:firstLineChars="200"/>
        <w:rPr>
          <w:rFonts w:hint="default" w:ascii="仿宋" w:hAnsi="仿宋" w:eastAsia="仿宋" w:cs="仿宋"/>
          <w:bCs/>
          <w:color w:val="auto"/>
          <w:szCs w:val="21"/>
          <w:highlight w:val="none"/>
          <w:u w:val="single"/>
          <w:lang w:val="en-US"/>
        </w:rPr>
      </w:pPr>
      <w:r>
        <w:rPr>
          <w:rFonts w:hint="eastAsia" w:ascii="仿宋" w:hAnsi="仿宋" w:eastAsia="仿宋" w:cs="仿宋"/>
          <w:bCs/>
          <w:color w:val="auto"/>
          <w:szCs w:val="21"/>
          <w:highlight w:val="none"/>
          <w:lang w:val="en-US" w:eastAsia="zh-CN"/>
        </w:rPr>
        <w:t>5</w:t>
      </w:r>
      <w:r>
        <w:rPr>
          <w:rFonts w:hint="eastAsia" w:ascii="仿宋" w:hAnsi="仿宋" w:eastAsia="仿宋" w:cs="仿宋"/>
          <w:bCs/>
          <w:color w:val="auto"/>
          <w:szCs w:val="21"/>
          <w:highlight w:val="none"/>
        </w:rPr>
        <w:t>.2地点：</w:t>
      </w:r>
      <w:r>
        <w:rPr>
          <w:rFonts w:hint="eastAsia" w:ascii="仿宋" w:hAnsi="仿宋" w:eastAsia="仿宋" w:cs="仿宋"/>
          <w:bCs/>
          <w:color w:val="auto"/>
          <w:szCs w:val="21"/>
          <w:highlight w:val="none"/>
          <w:lang w:val="en-US" w:eastAsia="zh-CN"/>
        </w:rPr>
        <w:t>昆</w:t>
      </w:r>
      <w:r>
        <w:rPr>
          <w:rFonts w:hint="eastAsia" w:ascii="仿宋" w:hAnsi="仿宋" w:eastAsia="仿宋" w:cs="仿宋"/>
          <w:bCs/>
          <w:color w:val="auto"/>
          <w:szCs w:val="21"/>
          <w:highlight w:val="none"/>
        </w:rPr>
        <w:t>明市官渡区人民政府长水街道办事处（昆明市官渡区滇中保障房宝河家园（C3地块）11栋）</w:t>
      </w:r>
      <w:r>
        <w:rPr>
          <w:rFonts w:hint="eastAsia" w:ascii="仿宋" w:hAnsi="仿宋" w:eastAsia="仿宋" w:cs="仿宋"/>
          <w:bCs/>
          <w:color w:val="auto"/>
          <w:szCs w:val="21"/>
          <w:highlight w:val="none"/>
          <w:lang w:val="en-US" w:eastAsia="zh-CN"/>
        </w:rPr>
        <w:t>223号会议室。</w:t>
      </w:r>
    </w:p>
    <w:p w14:paraId="1B03B692">
      <w:pPr>
        <w:keepNext/>
        <w:keepLines/>
        <w:spacing w:line="420" w:lineRule="exact"/>
        <w:ind w:firstLine="420" w:firstLineChars="200"/>
        <w:outlineLvl w:val="1"/>
        <w:rPr>
          <w:rFonts w:ascii="仿宋" w:hAnsi="仿宋" w:eastAsia="仿宋" w:cs="仿宋"/>
          <w:bCs/>
          <w:color w:val="auto"/>
          <w:szCs w:val="21"/>
          <w:highlight w:val="none"/>
        </w:rPr>
      </w:pPr>
      <w:bookmarkStart w:id="47" w:name="_Toc13518"/>
      <w:bookmarkStart w:id="48" w:name="_Toc6226"/>
      <w:r>
        <w:rPr>
          <w:rFonts w:hint="eastAsia" w:ascii="仿宋" w:hAnsi="仿宋" w:eastAsia="仿宋" w:cs="仿宋"/>
          <w:bCs/>
          <w:color w:val="auto"/>
          <w:szCs w:val="21"/>
          <w:highlight w:val="none"/>
          <w:lang w:val="en-US" w:eastAsia="zh-CN"/>
        </w:rPr>
        <w:t>六</w:t>
      </w:r>
      <w:r>
        <w:rPr>
          <w:rFonts w:hint="eastAsia" w:ascii="仿宋" w:hAnsi="仿宋" w:eastAsia="仿宋" w:cs="仿宋"/>
          <w:bCs/>
          <w:color w:val="auto"/>
          <w:szCs w:val="21"/>
          <w:highlight w:val="none"/>
        </w:rPr>
        <w:t>、公告期限</w:t>
      </w:r>
      <w:bookmarkEnd w:id="47"/>
      <w:bookmarkEnd w:id="48"/>
    </w:p>
    <w:p w14:paraId="5AB3EB72">
      <w:pPr>
        <w:spacing w:line="420" w:lineRule="exact"/>
        <w:ind w:firstLine="420" w:firstLineChars="200"/>
        <w:rPr>
          <w:rFonts w:ascii="仿宋" w:hAnsi="仿宋" w:eastAsia="仿宋" w:cs="仿宋"/>
          <w:bCs/>
          <w:color w:val="auto"/>
          <w:kern w:val="0"/>
          <w:szCs w:val="21"/>
          <w:highlight w:val="none"/>
        </w:rPr>
      </w:pPr>
      <w:r>
        <w:rPr>
          <w:rFonts w:hint="eastAsia" w:ascii="仿宋" w:hAnsi="仿宋" w:eastAsia="仿宋" w:cs="仿宋"/>
          <w:bCs/>
          <w:color w:val="auto"/>
          <w:kern w:val="0"/>
          <w:szCs w:val="21"/>
          <w:highlight w:val="none"/>
        </w:rPr>
        <w:t>自本公告发布之日起</w:t>
      </w:r>
      <w:r>
        <w:rPr>
          <w:rFonts w:hint="eastAsia" w:ascii="仿宋" w:hAnsi="仿宋" w:eastAsia="仿宋" w:cs="仿宋"/>
          <w:bCs/>
          <w:color w:val="auto"/>
          <w:kern w:val="0"/>
          <w:szCs w:val="21"/>
          <w:highlight w:val="none"/>
          <w:lang w:val="en-US" w:eastAsia="zh-CN"/>
        </w:rPr>
        <w:t>5</w:t>
      </w:r>
      <w:r>
        <w:rPr>
          <w:rFonts w:hint="eastAsia" w:ascii="仿宋" w:hAnsi="仿宋" w:eastAsia="仿宋" w:cs="仿宋"/>
          <w:bCs/>
          <w:color w:val="auto"/>
          <w:kern w:val="0"/>
          <w:szCs w:val="21"/>
          <w:highlight w:val="none"/>
        </w:rPr>
        <w:t>个工作日。</w:t>
      </w:r>
    </w:p>
    <w:p w14:paraId="2007EE1A">
      <w:pPr>
        <w:keepNext/>
        <w:keepLines/>
        <w:spacing w:line="420" w:lineRule="exact"/>
        <w:ind w:firstLine="420" w:firstLineChars="200"/>
        <w:outlineLvl w:val="1"/>
        <w:rPr>
          <w:rFonts w:ascii="仿宋" w:hAnsi="仿宋" w:eastAsia="仿宋" w:cs="仿宋"/>
          <w:bCs/>
          <w:color w:val="auto"/>
          <w:szCs w:val="21"/>
          <w:highlight w:val="none"/>
        </w:rPr>
      </w:pPr>
      <w:bookmarkStart w:id="49" w:name="_Toc25438"/>
      <w:bookmarkStart w:id="50" w:name="_Toc5674"/>
      <w:r>
        <w:rPr>
          <w:rFonts w:hint="eastAsia" w:ascii="仿宋" w:hAnsi="仿宋" w:eastAsia="仿宋" w:cs="仿宋"/>
          <w:bCs/>
          <w:color w:val="auto"/>
          <w:szCs w:val="21"/>
          <w:highlight w:val="none"/>
          <w:lang w:val="en-US" w:eastAsia="zh-CN"/>
        </w:rPr>
        <w:t>七</w:t>
      </w:r>
      <w:r>
        <w:rPr>
          <w:rFonts w:hint="eastAsia" w:ascii="仿宋" w:hAnsi="仿宋" w:eastAsia="仿宋" w:cs="仿宋"/>
          <w:bCs/>
          <w:color w:val="auto"/>
          <w:szCs w:val="21"/>
          <w:highlight w:val="none"/>
        </w:rPr>
        <w:t>、其他补充事宜</w:t>
      </w:r>
      <w:bookmarkEnd w:id="49"/>
      <w:bookmarkEnd w:id="50"/>
    </w:p>
    <w:p w14:paraId="2641DAC7">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1.是否需要缴纳磋商保证金：否。</w:t>
      </w:r>
    </w:p>
    <w:p w14:paraId="6B3CC858">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2.发布公告的媒介:本次招标公告在</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lang w:val="en-US" w:eastAsia="zh-CN"/>
        </w:rPr>
        <w:t>云南滇中新区门户网》</w:t>
      </w:r>
      <w:r>
        <w:rPr>
          <w:rFonts w:hint="eastAsia" w:ascii="仿宋" w:hAnsi="仿宋" w:eastAsia="仿宋" w:cs="仿宋"/>
          <w:bCs/>
          <w:color w:val="auto"/>
          <w:szCs w:val="21"/>
          <w:highlight w:val="none"/>
        </w:rPr>
        <w:t>上发布，采购人对其他网站或媒体转载的公告及公告内容不承担任何责任。</w:t>
      </w:r>
    </w:p>
    <w:p w14:paraId="54F55E8D">
      <w:pPr>
        <w:keepNext/>
        <w:keepLines/>
        <w:spacing w:line="420" w:lineRule="exact"/>
        <w:ind w:firstLine="420" w:firstLineChars="200"/>
        <w:outlineLvl w:val="1"/>
        <w:rPr>
          <w:rFonts w:hint="default" w:ascii="仿宋" w:hAnsi="仿宋" w:eastAsia="仿宋" w:cs="仿宋"/>
          <w:bCs/>
          <w:color w:val="auto"/>
          <w:szCs w:val="21"/>
          <w:highlight w:val="none"/>
          <w:lang w:val="en-US" w:eastAsia="zh-CN"/>
        </w:rPr>
      </w:pPr>
      <w:bookmarkStart w:id="51" w:name="_Toc18599"/>
      <w:bookmarkStart w:id="52" w:name="_Toc8713"/>
      <w:r>
        <w:rPr>
          <w:rFonts w:hint="eastAsia" w:ascii="仿宋" w:hAnsi="仿宋" w:eastAsia="仿宋" w:cs="仿宋"/>
          <w:bCs/>
          <w:color w:val="auto"/>
          <w:szCs w:val="21"/>
          <w:highlight w:val="none"/>
          <w:lang w:val="en-US" w:eastAsia="zh-CN"/>
        </w:rPr>
        <w:t>八</w:t>
      </w:r>
      <w:r>
        <w:rPr>
          <w:rFonts w:hint="eastAsia" w:ascii="仿宋" w:hAnsi="仿宋" w:eastAsia="仿宋" w:cs="仿宋"/>
          <w:bCs/>
          <w:color w:val="auto"/>
          <w:szCs w:val="21"/>
          <w:highlight w:val="none"/>
        </w:rPr>
        <w:t>、</w:t>
      </w:r>
      <w:bookmarkEnd w:id="51"/>
      <w:bookmarkEnd w:id="52"/>
      <w:r>
        <w:rPr>
          <w:rFonts w:hint="eastAsia" w:ascii="仿宋" w:hAnsi="仿宋" w:eastAsia="仿宋" w:cs="仿宋"/>
          <w:bCs/>
          <w:color w:val="auto"/>
          <w:szCs w:val="21"/>
          <w:highlight w:val="none"/>
          <w:lang w:val="en-US" w:eastAsia="zh-CN"/>
        </w:rPr>
        <w:t>联系方式</w:t>
      </w:r>
    </w:p>
    <w:p w14:paraId="3CE1B537">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采购人名称：昆明市官渡区人民政府长水街道办事处</w:t>
      </w:r>
    </w:p>
    <w:p w14:paraId="79C9D559">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地址：昆明市官渡区滇中保障房宝河家园（C3地块）11栋</w:t>
      </w:r>
    </w:p>
    <w:p w14:paraId="4026DCE7">
      <w:pPr>
        <w:spacing w:line="360" w:lineRule="auto"/>
        <w:ind w:firstLine="420" w:firstLineChars="200"/>
        <w:rPr>
          <w:rFonts w:hint="default"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rPr>
        <w:t>联系</w:t>
      </w:r>
      <w:r>
        <w:rPr>
          <w:rFonts w:hint="eastAsia" w:ascii="仿宋" w:hAnsi="仿宋" w:eastAsia="仿宋" w:cs="仿宋"/>
          <w:bCs/>
          <w:color w:val="auto"/>
          <w:szCs w:val="21"/>
          <w:highlight w:val="none"/>
          <w:lang w:val="en-US" w:eastAsia="zh-CN"/>
        </w:rPr>
        <w:t>人及联系</w:t>
      </w:r>
      <w:r>
        <w:rPr>
          <w:rFonts w:hint="eastAsia" w:ascii="仿宋" w:hAnsi="仿宋" w:eastAsia="仿宋" w:cs="仿宋"/>
          <w:bCs/>
          <w:color w:val="auto"/>
          <w:szCs w:val="21"/>
          <w:highlight w:val="none"/>
        </w:rPr>
        <w:t>方式：</w:t>
      </w:r>
      <w:bookmarkStart w:id="53" w:name="_Toc28359009"/>
      <w:bookmarkStart w:id="54" w:name="_Toc28359086"/>
      <w:r>
        <w:rPr>
          <w:rFonts w:hint="eastAsia" w:ascii="仿宋" w:hAnsi="仿宋" w:eastAsia="仿宋" w:cs="仿宋"/>
          <w:bCs/>
          <w:color w:val="auto"/>
          <w:szCs w:val="21"/>
          <w:highlight w:val="none"/>
          <w:lang w:val="en-US" w:eastAsia="zh-CN"/>
        </w:rPr>
        <w:t>童老师</w:t>
      </w:r>
      <w:r>
        <w:rPr>
          <w:rFonts w:hint="eastAsia" w:ascii="仿宋" w:hAnsi="仿宋" w:eastAsia="仿宋" w:cs="仿宋"/>
          <w:bCs/>
          <w:color w:val="auto"/>
          <w:szCs w:val="21"/>
          <w:highlight w:val="none"/>
          <w:lang w:eastAsia="zh-CN"/>
        </w:rPr>
        <w:t>，</w:t>
      </w:r>
      <w:r>
        <w:rPr>
          <w:rFonts w:hint="eastAsia" w:ascii="仿宋" w:hAnsi="仿宋" w:eastAsia="仿宋" w:cs="仿宋"/>
          <w:bCs/>
          <w:color w:val="auto"/>
          <w:szCs w:val="21"/>
          <w:highlight w:val="none"/>
        </w:rPr>
        <w:t>0871-6733</w:t>
      </w:r>
      <w:r>
        <w:rPr>
          <w:rFonts w:hint="eastAsia" w:ascii="仿宋" w:hAnsi="仿宋" w:eastAsia="仿宋" w:cs="仿宋"/>
          <w:bCs/>
          <w:color w:val="auto"/>
          <w:szCs w:val="21"/>
          <w:highlight w:val="none"/>
          <w:lang w:val="en-US" w:eastAsia="zh-CN"/>
        </w:rPr>
        <w:t>7800</w:t>
      </w:r>
    </w:p>
    <w:p w14:paraId="67FBA298">
      <w:pPr>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br w:type="page"/>
      </w:r>
    </w:p>
    <w:p w14:paraId="5CAB8130">
      <w:pPr>
        <w:pStyle w:val="25"/>
        <w:rPr>
          <w:rFonts w:hint="default"/>
          <w:color w:val="auto"/>
          <w:lang w:val="en-US" w:eastAsia="zh-CN"/>
        </w:rPr>
      </w:pPr>
    </w:p>
    <w:bookmarkEnd w:id="53"/>
    <w:bookmarkEnd w:id="54"/>
    <w:p w14:paraId="67FC081F">
      <w:pPr>
        <w:keepNext/>
        <w:numPr>
          <w:ilvl w:val="0"/>
          <w:numId w:val="2"/>
        </w:numPr>
        <w:tabs>
          <w:tab w:val="left" w:pos="360"/>
        </w:tabs>
        <w:autoSpaceDE w:val="0"/>
        <w:autoSpaceDN w:val="0"/>
        <w:adjustRightInd w:val="0"/>
        <w:spacing w:line="500" w:lineRule="exact"/>
        <w:ind w:firstLine="883" w:firstLineChars="200"/>
        <w:jc w:val="center"/>
        <w:outlineLvl w:val="0"/>
        <w:rPr>
          <w:rFonts w:ascii="仿宋" w:hAnsi="仿宋" w:eastAsia="仿宋" w:cs="仿宋"/>
          <w:b/>
          <w:bCs/>
          <w:color w:val="auto"/>
          <w:kern w:val="0"/>
          <w:sz w:val="44"/>
          <w:highlight w:val="none"/>
        </w:rPr>
      </w:pPr>
      <w:bookmarkStart w:id="55" w:name="_Toc19686"/>
      <w:r>
        <w:rPr>
          <w:rFonts w:hint="eastAsia" w:ascii="仿宋" w:hAnsi="仿宋" w:eastAsia="仿宋" w:cs="仿宋"/>
          <w:b/>
          <w:bCs/>
          <w:color w:val="auto"/>
          <w:kern w:val="0"/>
          <w:sz w:val="44"/>
          <w:highlight w:val="none"/>
        </w:rPr>
        <w:t>供应商须知</w:t>
      </w:r>
      <w:bookmarkEnd w:id="55"/>
    </w:p>
    <w:p w14:paraId="084C7C82">
      <w:pPr>
        <w:pStyle w:val="4"/>
        <w:spacing w:before="0" w:line="500" w:lineRule="exact"/>
        <w:ind w:left="425" w:firstLine="0"/>
        <w:rPr>
          <w:rFonts w:ascii="仿宋" w:hAnsi="仿宋" w:eastAsia="仿宋" w:cs="仿宋"/>
          <w:color w:val="auto"/>
          <w:highlight w:val="none"/>
        </w:rPr>
      </w:pPr>
      <w:bookmarkStart w:id="56" w:name="_Toc1238"/>
      <w:r>
        <w:rPr>
          <w:rFonts w:hint="eastAsia" w:ascii="仿宋" w:hAnsi="仿宋" w:eastAsia="仿宋" w:cs="仿宋"/>
          <w:color w:val="auto"/>
          <w:szCs w:val="28"/>
          <w:highlight w:val="none"/>
        </w:rPr>
        <w:t>一、供应商须知前附表</w:t>
      </w:r>
      <w:bookmarkEnd w:id="56"/>
    </w:p>
    <w:tbl>
      <w:tblPr>
        <w:tblStyle w:val="27"/>
        <w:tblW w:w="10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1692"/>
        <w:gridCol w:w="7800"/>
      </w:tblGrid>
      <w:tr w14:paraId="2A44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07C3E844">
            <w:pPr>
              <w:rPr>
                <w:rFonts w:ascii="仿宋" w:hAnsi="仿宋" w:eastAsia="仿宋" w:cs="仿宋"/>
                <w:color w:val="auto"/>
                <w:szCs w:val="21"/>
                <w:highlight w:val="none"/>
              </w:rPr>
            </w:pPr>
            <w:r>
              <w:rPr>
                <w:rFonts w:hint="eastAsia" w:ascii="仿宋" w:hAnsi="仿宋" w:eastAsia="仿宋" w:cs="仿宋"/>
                <w:color w:val="auto"/>
                <w:szCs w:val="21"/>
                <w:highlight w:val="none"/>
              </w:rPr>
              <w:t>条款号</w:t>
            </w:r>
          </w:p>
        </w:tc>
        <w:tc>
          <w:tcPr>
            <w:tcW w:w="1692" w:type="dxa"/>
            <w:tcBorders>
              <w:top w:val="single" w:color="auto" w:sz="4" w:space="0"/>
              <w:left w:val="single" w:color="auto" w:sz="4" w:space="0"/>
              <w:bottom w:val="single" w:color="auto" w:sz="4" w:space="0"/>
              <w:right w:val="single" w:color="auto" w:sz="4" w:space="0"/>
            </w:tcBorders>
            <w:noWrap/>
            <w:vAlign w:val="center"/>
          </w:tcPr>
          <w:p w14:paraId="50C7BCCE">
            <w:pPr>
              <w:rPr>
                <w:rFonts w:ascii="仿宋" w:hAnsi="仿宋" w:eastAsia="仿宋" w:cs="仿宋"/>
                <w:color w:val="auto"/>
                <w:szCs w:val="21"/>
                <w:highlight w:val="none"/>
              </w:rPr>
            </w:pPr>
            <w:r>
              <w:rPr>
                <w:rFonts w:hint="eastAsia" w:ascii="仿宋" w:hAnsi="仿宋" w:eastAsia="仿宋" w:cs="仿宋"/>
                <w:color w:val="auto"/>
                <w:szCs w:val="21"/>
                <w:highlight w:val="none"/>
              </w:rPr>
              <w:t>条 款 名 称</w:t>
            </w:r>
          </w:p>
        </w:tc>
        <w:tc>
          <w:tcPr>
            <w:tcW w:w="7800" w:type="dxa"/>
            <w:tcBorders>
              <w:top w:val="single" w:color="auto" w:sz="4" w:space="0"/>
              <w:left w:val="single" w:color="auto" w:sz="4" w:space="0"/>
              <w:bottom w:val="single" w:color="auto" w:sz="4" w:space="0"/>
              <w:right w:val="single" w:color="auto" w:sz="4" w:space="0"/>
            </w:tcBorders>
            <w:noWrap/>
            <w:vAlign w:val="center"/>
          </w:tcPr>
          <w:p w14:paraId="2995F861">
            <w:pPr>
              <w:rPr>
                <w:rFonts w:ascii="仿宋" w:hAnsi="仿宋" w:eastAsia="仿宋" w:cs="仿宋"/>
                <w:color w:val="auto"/>
                <w:szCs w:val="21"/>
                <w:highlight w:val="none"/>
              </w:rPr>
            </w:pPr>
            <w:r>
              <w:rPr>
                <w:rFonts w:hint="eastAsia" w:ascii="仿宋" w:hAnsi="仿宋" w:eastAsia="仿宋" w:cs="仿宋"/>
                <w:color w:val="auto"/>
                <w:szCs w:val="21"/>
                <w:highlight w:val="none"/>
              </w:rPr>
              <w:t>编 列 内 容</w:t>
            </w:r>
          </w:p>
        </w:tc>
      </w:tr>
      <w:tr w14:paraId="260DA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exac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714960F2">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1.1</w:t>
            </w:r>
            <w:r>
              <w:rPr>
                <w:rFonts w:hint="eastAsia" w:ascii="仿宋" w:hAnsi="仿宋" w:eastAsia="仿宋" w:cs="仿宋"/>
                <w:color w:val="auto"/>
                <w:szCs w:val="21"/>
                <w:highlight w:val="none"/>
                <w:lang w:val="en-US" w:eastAsia="zh-CN"/>
              </w:rPr>
              <w:t>.2</w:t>
            </w:r>
          </w:p>
        </w:tc>
        <w:tc>
          <w:tcPr>
            <w:tcW w:w="1692" w:type="dxa"/>
            <w:tcBorders>
              <w:top w:val="single" w:color="auto" w:sz="4" w:space="0"/>
              <w:left w:val="single" w:color="auto" w:sz="4" w:space="0"/>
              <w:bottom w:val="single" w:color="auto" w:sz="4" w:space="0"/>
              <w:right w:val="single" w:color="auto" w:sz="4" w:space="0"/>
            </w:tcBorders>
            <w:noWrap/>
            <w:vAlign w:val="center"/>
          </w:tcPr>
          <w:p w14:paraId="2B961655">
            <w:pPr>
              <w:rPr>
                <w:rFonts w:ascii="仿宋" w:hAnsi="仿宋" w:eastAsia="仿宋" w:cs="仿宋"/>
                <w:color w:val="auto"/>
                <w:szCs w:val="21"/>
                <w:highlight w:val="none"/>
              </w:rPr>
            </w:pPr>
            <w:r>
              <w:rPr>
                <w:rFonts w:hint="eastAsia" w:ascii="仿宋" w:hAnsi="仿宋" w:eastAsia="仿宋" w:cs="仿宋"/>
                <w:color w:val="auto"/>
                <w:szCs w:val="21"/>
                <w:highlight w:val="none"/>
              </w:rPr>
              <w:t>采购人</w:t>
            </w:r>
          </w:p>
        </w:tc>
        <w:tc>
          <w:tcPr>
            <w:tcW w:w="7800" w:type="dxa"/>
            <w:tcBorders>
              <w:top w:val="single" w:color="auto" w:sz="4" w:space="0"/>
              <w:left w:val="single" w:color="auto" w:sz="4" w:space="0"/>
              <w:bottom w:val="single" w:color="auto" w:sz="4" w:space="0"/>
              <w:right w:val="single" w:color="auto" w:sz="4" w:space="0"/>
            </w:tcBorders>
            <w:noWrap/>
            <w:vAlign w:val="center"/>
          </w:tcPr>
          <w:p w14:paraId="6DDAC878">
            <w:pPr>
              <w:rPr>
                <w:rFonts w:ascii="仿宋" w:hAnsi="仿宋" w:eastAsia="仿宋" w:cs="仿宋"/>
                <w:color w:val="auto"/>
                <w:szCs w:val="21"/>
                <w:highlight w:val="none"/>
              </w:rPr>
            </w:pPr>
            <w:r>
              <w:rPr>
                <w:rFonts w:hint="eastAsia" w:ascii="仿宋" w:hAnsi="仿宋" w:eastAsia="仿宋" w:cs="仿宋"/>
                <w:color w:val="auto"/>
                <w:szCs w:val="21"/>
                <w:highlight w:val="none"/>
              </w:rPr>
              <w:t>名 称：昆明市官渡区人民政府长水街道办事处</w:t>
            </w:r>
          </w:p>
          <w:p w14:paraId="5B2A61D2">
            <w:pPr>
              <w:rPr>
                <w:rFonts w:ascii="仿宋" w:hAnsi="仿宋" w:eastAsia="仿宋" w:cs="仿宋"/>
                <w:color w:val="auto"/>
                <w:szCs w:val="21"/>
                <w:highlight w:val="none"/>
              </w:rPr>
            </w:pPr>
            <w:r>
              <w:rPr>
                <w:rFonts w:hint="eastAsia" w:ascii="仿宋" w:hAnsi="仿宋" w:eastAsia="仿宋" w:cs="仿宋"/>
                <w:color w:val="auto"/>
                <w:szCs w:val="21"/>
                <w:highlight w:val="none"/>
              </w:rPr>
              <w:t>地址：昆明市官渡区滇中保障房宝河家园（C3地块）11栋</w:t>
            </w:r>
          </w:p>
          <w:p w14:paraId="40EFDE8D">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联系方式：</w:t>
            </w:r>
            <w:r>
              <w:rPr>
                <w:rFonts w:hint="eastAsia" w:ascii="仿宋" w:hAnsi="仿宋" w:eastAsia="仿宋" w:cs="仿宋"/>
                <w:color w:val="auto"/>
                <w:szCs w:val="21"/>
                <w:highlight w:val="none"/>
                <w:lang w:val="en-US" w:eastAsia="zh-CN"/>
              </w:rPr>
              <w:t>童老师</w:t>
            </w:r>
            <w:r>
              <w:rPr>
                <w:rFonts w:hint="eastAsia" w:ascii="仿宋" w:hAnsi="仿宋" w:eastAsia="仿宋" w:cs="仿宋"/>
                <w:color w:val="auto"/>
                <w:szCs w:val="21"/>
                <w:highlight w:val="none"/>
              </w:rPr>
              <w:t xml:space="preserve"> 0871-6733</w:t>
            </w:r>
            <w:r>
              <w:rPr>
                <w:rFonts w:hint="eastAsia" w:ascii="仿宋" w:hAnsi="仿宋" w:eastAsia="仿宋" w:cs="仿宋"/>
                <w:color w:val="auto"/>
                <w:szCs w:val="21"/>
                <w:highlight w:val="none"/>
                <w:lang w:val="en-US" w:eastAsia="zh-CN"/>
              </w:rPr>
              <w:t>7800</w:t>
            </w:r>
            <w:bookmarkStart w:id="204" w:name="_GoBack"/>
            <w:bookmarkEnd w:id="204"/>
          </w:p>
          <w:p w14:paraId="431DD08D">
            <w:pPr>
              <w:rPr>
                <w:rFonts w:ascii="仿宋" w:hAnsi="仿宋" w:eastAsia="仿宋" w:cs="仿宋"/>
                <w:color w:val="auto"/>
                <w:szCs w:val="21"/>
                <w:highlight w:val="none"/>
              </w:rPr>
            </w:pPr>
          </w:p>
        </w:tc>
      </w:tr>
      <w:tr w14:paraId="16DD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6E5B47CF">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1.1.</w:t>
            </w:r>
            <w:r>
              <w:rPr>
                <w:rFonts w:hint="eastAsia" w:ascii="仿宋" w:hAnsi="仿宋" w:eastAsia="仿宋" w:cs="仿宋"/>
                <w:color w:val="auto"/>
                <w:szCs w:val="21"/>
                <w:highlight w:val="none"/>
                <w:lang w:val="en-US" w:eastAsia="zh-CN"/>
              </w:rPr>
              <w:t>3</w:t>
            </w:r>
          </w:p>
        </w:tc>
        <w:tc>
          <w:tcPr>
            <w:tcW w:w="1692" w:type="dxa"/>
            <w:tcBorders>
              <w:top w:val="single" w:color="auto" w:sz="4" w:space="0"/>
              <w:left w:val="single" w:color="auto" w:sz="4" w:space="0"/>
              <w:bottom w:val="single" w:color="auto" w:sz="4" w:space="0"/>
              <w:right w:val="single" w:color="auto" w:sz="4" w:space="0"/>
            </w:tcBorders>
            <w:noWrap/>
            <w:vAlign w:val="center"/>
          </w:tcPr>
          <w:p w14:paraId="57A7AA43">
            <w:pPr>
              <w:rPr>
                <w:rFonts w:ascii="仿宋" w:hAnsi="仿宋" w:eastAsia="仿宋" w:cs="仿宋"/>
                <w:color w:val="auto"/>
                <w:szCs w:val="21"/>
                <w:highlight w:val="none"/>
              </w:rPr>
            </w:pPr>
            <w:r>
              <w:rPr>
                <w:rFonts w:hint="eastAsia" w:ascii="仿宋" w:hAnsi="仿宋" w:eastAsia="仿宋" w:cs="仿宋"/>
                <w:color w:val="auto"/>
                <w:szCs w:val="21"/>
                <w:highlight w:val="none"/>
              </w:rPr>
              <w:t>项目名称</w:t>
            </w:r>
          </w:p>
        </w:tc>
        <w:tc>
          <w:tcPr>
            <w:tcW w:w="7800" w:type="dxa"/>
            <w:tcBorders>
              <w:top w:val="single" w:color="auto" w:sz="4" w:space="0"/>
              <w:left w:val="single" w:color="auto" w:sz="4" w:space="0"/>
              <w:bottom w:val="single" w:color="auto" w:sz="4" w:space="0"/>
              <w:right w:val="single" w:color="auto" w:sz="4" w:space="0"/>
            </w:tcBorders>
            <w:noWrap/>
            <w:vAlign w:val="center"/>
          </w:tcPr>
          <w:p w14:paraId="7A385177">
            <w:pPr>
              <w:rPr>
                <w:rFonts w:ascii="仿宋" w:hAnsi="仿宋" w:eastAsia="仿宋" w:cs="仿宋"/>
                <w:color w:val="auto"/>
                <w:szCs w:val="21"/>
                <w:highlight w:val="none"/>
              </w:rPr>
            </w:pPr>
            <w:r>
              <w:rPr>
                <w:rFonts w:hint="eastAsia" w:ascii="仿宋" w:hAnsi="仿宋" w:eastAsia="仿宋" w:cs="仿宋"/>
                <w:color w:val="auto"/>
                <w:szCs w:val="21"/>
                <w:highlight w:val="none"/>
              </w:rPr>
              <w:t>云南省昆明市官渡区人民政府长水街道办事处202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-202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年度招标代理</w:t>
            </w:r>
            <w:r>
              <w:rPr>
                <w:rFonts w:hint="eastAsia" w:ascii="仿宋" w:hAnsi="仿宋" w:eastAsia="仿宋" w:cs="仿宋"/>
                <w:color w:val="auto"/>
                <w:szCs w:val="21"/>
                <w:highlight w:val="none"/>
                <w:lang w:val="en-US" w:eastAsia="zh-CN"/>
              </w:rPr>
              <w:t>服务单位采购</w:t>
            </w:r>
            <w:r>
              <w:rPr>
                <w:rFonts w:hint="eastAsia" w:ascii="仿宋" w:hAnsi="仿宋" w:eastAsia="仿宋" w:cs="仿宋"/>
                <w:color w:val="auto"/>
                <w:szCs w:val="21"/>
                <w:highlight w:val="none"/>
              </w:rPr>
              <w:t xml:space="preserve"> </w:t>
            </w:r>
          </w:p>
        </w:tc>
      </w:tr>
      <w:tr w14:paraId="758B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7B95F573">
            <w:pPr>
              <w:rPr>
                <w:rFonts w:ascii="仿宋" w:hAnsi="仿宋" w:eastAsia="仿宋" w:cs="仿宋"/>
                <w:color w:val="auto"/>
                <w:szCs w:val="21"/>
                <w:highlight w:val="none"/>
              </w:rPr>
            </w:pPr>
            <w:r>
              <w:rPr>
                <w:rFonts w:hint="eastAsia" w:ascii="仿宋" w:hAnsi="仿宋" w:eastAsia="仿宋" w:cs="仿宋"/>
                <w:color w:val="auto"/>
                <w:szCs w:val="21"/>
                <w:highlight w:val="none"/>
              </w:rPr>
              <w:t>1.2.1</w:t>
            </w:r>
          </w:p>
        </w:tc>
        <w:tc>
          <w:tcPr>
            <w:tcW w:w="1692" w:type="dxa"/>
            <w:tcBorders>
              <w:top w:val="single" w:color="auto" w:sz="4" w:space="0"/>
              <w:left w:val="single" w:color="auto" w:sz="4" w:space="0"/>
              <w:bottom w:val="single" w:color="auto" w:sz="4" w:space="0"/>
              <w:right w:val="single" w:color="auto" w:sz="4" w:space="0"/>
            </w:tcBorders>
            <w:noWrap/>
            <w:vAlign w:val="center"/>
          </w:tcPr>
          <w:p w14:paraId="417705B3">
            <w:pPr>
              <w:rPr>
                <w:rFonts w:ascii="仿宋" w:hAnsi="仿宋" w:eastAsia="仿宋" w:cs="仿宋"/>
                <w:color w:val="auto"/>
                <w:szCs w:val="21"/>
                <w:highlight w:val="none"/>
              </w:rPr>
            </w:pPr>
            <w:r>
              <w:rPr>
                <w:rFonts w:hint="eastAsia" w:ascii="仿宋" w:hAnsi="仿宋" w:eastAsia="仿宋" w:cs="仿宋"/>
                <w:color w:val="auto"/>
                <w:szCs w:val="21"/>
                <w:highlight w:val="none"/>
              </w:rPr>
              <w:t>资金来源</w:t>
            </w:r>
          </w:p>
        </w:tc>
        <w:tc>
          <w:tcPr>
            <w:tcW w:w="7800" w:type="dxa"/>
            <w:tcBorders>
              <w:top w:val="single" w:color="auto" w:sz="4" w:space="0"/>
              <w:left w:val="single" w:color="auto" w:sz="4" w:space="0"/>
              <w:bottom w:val="single" w:color="auto" w:sz="4" w:space="0"/>
              <w:right w:val="single" w:color="auto" w:sz="4" w:space="0"/>
            </w:tcBorders>
            <w:noWrap/>
            <w:vAlign w:val="center"/>
          </w:tcPr>
          <w:p w14:paraId="73361CA2">
            <w:pPr>
              <w:rPr>
                <w:rFonts w:hint="default" w:ascii="仿宋" w:hAnsi="仿宋" w:eastAsia="仿宋" w:cs="仿宋"/>
                <w:color w:val="auto"/>
                <w:szCs w:val="21"/>
                <w:highlight w:val="none"/>
                <w:lang w:val="en-US" w:eastAsia="zh-CN"/>
              </w:rPr>
            </w:pPr>
            <w:r>
              <w:rPr>
                <w:rFonts w:hint="eastAsia" w:ascii="仿宋" w:hAnsi="仿宋" w:eastAsia="仿宋" w:cs="仿宋"/>
                <w:strike w:val="0"/>
                <w:color w:val="auto"/>
                <w:szCs w:val="21"/>
                <w:highlight w:val="none"/>
                <w:lang w:val="en-US" w:eastAsia="zh-CN"/>
              </w:rPr>
              <w:t>中标（成交单位）根据收费标准支付。</w:t>
            </w:r>
          </w:p>
        </w:tc>
      </w:tr>
      <w:tr w14:paraId="238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0AD482B1">
            <w:pPr>
              <w:rPr>
                <w:rFonts w:ascii="仿宋" w:hAnsi="仿宋" w:eastAsia="仿宋" w:cs="仿宋"/>
                <w:color w:val="auto"/>
                <w:szCs w:val="21"/>
                <w:highlight w:val="none"/>
              </w:rPr>
            </w:pPr>
            <w:r>
              <w:rPr>
                <w:rFonts w:hint="eastAsia" w:ascii="仿宋" w:hAnsi="仿宋" w:eastAsia="仿宋" w:cs="仿宋"/>
                <w:color w:val="auto"/>
                <w:szCs w:val="21"/>
                <w:highlight w:val="none"/>
              </w:rPr>
              <w:t>1.3.1</w:t>
            </w:r>
          </w:p>
        </w:tc>
        <w:tc>
          <w:tcPr>
            <w:tcW w:w="1692" w:type="dxa"/>
            <w:tcBorders>
              <w:top w:val="single" w:color="auto" w:sz="4" w:space="0"/>
              <w:left w:val="single" w:color="auto" w:sz="4" w:space="0"/>
              <w:bottom w:val="single" w:color="auto" w:sz="4" w:space="0"/>
              <w:right w:val="single" w:color="auto" w:sz="4" w:space="0"/>
            </w:tcBorders>
            <w:noWrap/>
            <w:vAlign w:val="center"/>
          </w:tcPr>
          <w:p w14:paraId="4E7B2B7A">
            <w:pPr>
              <w:rPr>
                <w:rFonts w:ascii="仿宋" w:hAnsi="仿宋" w:eastAsia="仿宋" w:cs="仿宋"/>
                <w:color w:val="auto"/>
                <w:szCs w:val="21"/>
                <w:highlight w:val="none"/>
              </w:rPr>
            </w:pPr>
            <w:r>
              <w:rPr>
                <w:rFonts w:hint="eastAsia" w:ascii="仿宋" w:hAnsi="仿宋" w:eastAsia="仿宋" w:cs="仿宋"/>
                <w:color w:val="auto"/>
                <w:szCs w:val="21"/>
                <w:highlight w:val="none"/>
              </w:rPr>
              <w:t>竞争性磋商范围</w:t>
            </w:r>
          </w:p>
        </w:tc>
        <w:tc>
          <w:tcPr>
            <w:tcW w:w="7800" w:type="dxa"/>
            <w:tcBorders>
              <w:top w:val="single" w:color="auto" w:sz="4" w:space="0"/>
              <w:left w:val="single" w:color="auto" w:sz="4" w:space="0"/>
              <w:bottom w:val="single" w:color="auto" w:sz="4" w:space="0"/>
              <w:right w:val="single" w:color="auto" w:sz="4" w:space="0"/>
            </w:tcBorders>
            <w:noWrap/>
          </w:tcPr>
          <w:p w14:paraId="3246080E">
            <w:pPr>
              <w:spacing w:line="420" w:lineRule="exact"/>
              <w:rPr>
                <w:rFonts w:ascii="仿宋" w:hAnsi="仿宋" w:eastAsia="仿宋" w:cs="仿宋"/>
                <w:color w:val="auto"/>
                <w:szCs w:val="21"/>
                <w:highlight w:val="none"/>
              </w:rPr>
            </w:pPr>
            <w:r>
              <w:rPr>
                <w:rFonts w:hint="eastAsia" w:ascii="仿宋" w:hAnsi="仿宋" w:eastAsia="仿宋" w:cs="仿宋"/>
                <w:bCs/>
                <w:color w:val="auto"/>
                <w:szCs w:val="21"/>
                <w:highlight w:val="none"/>
              </w:rPr>
              <w:t>公开择优评比出一家招标代理机构，负责</w:t>
            </w:r>
            <w:r>
              <w:rPr>
                <w:rFonts w:hint="eastAsia" w:ascii="仿宋" w:hAnsi="仿宋" w:eastAsia="仿宋" w:cs="仿宋"/>
                <w:color w:val="auto"/>
                <w:sz w:val="21"/>
                <w:szCs w:val="21"/>
                <w:lang w:val="en-US" w:eastAsia="zh-CN"/>
              </w:rPr>
              <w:t>长水街道办事处以及昆明长水国际机场改扩建工程和配套项目建设长水街道安置搬迁工作指挥部</w:t>
            </w:r>
            <w:r>
              <w:rPr>
                <w:rFonts w:hint="eastAsia" w:ascii="仿宋" w:hAnsi="仿宋" w:eastAsia="仿宋" w:cs="仿宋"/>
                <w:bCs/>
                <w:color w:val="auto"/>
                <w:szCs w:val="21"/>
                <w:highlight w:val="none"/>
              </w:rPr>
              <w:t>一年的招标代理服务业务</w:t>
            </w:r>
            <w:r>
              <w:rPr>
                <w:rFonts w:hint="eastAsia" w:ascii="仿宋" w:hAnsi="仿宋" w:eastAsia="仿宋" w:cs="仿宋"/>
                <w:bCs/>
                <w:color w:val="auto"/>
                <w:szCs w:val="21"/>
                <w:highlight w:val="none"/>
                <w:lang w:val="en-US" w:eastAsia="zh-CN"/>
              </w:rPr>
              <w:t>。包括但不限于以下服务工作内容：工程类、服务类及货物类等各类招标工作，具体招标代理服务内容以招标人实际委托的为准。</w:t>
            </w:r>
            <w:r>
              <w:rPr>
                <w:rFonts w:hint="eastAsia" w:ascii="仿宋" w:hAnsi="仿宋" w:eastAsia="仿宋" w:cs="仿宋"/>
                <w:bCs/>
                <w:color w:val="auto"/>
                <w:szCs w:val="21"/>
                <w:highlight w:val="none"/>
              </w:rPr>
              <w:t>具体要求及内容详见本采购文件第五章《采购需求》。</w:t>
            </w:r>
          </w:p>
        </w:tc>
      </w:tr>
      <w:tr w14:paraId="3D95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54B3569B">
            <w:pPr>
              <w:rPr>
                <w:rFonts w:ascii="仿宋" w:hAnsi="仿宋" w:eastAsia="仿宋" w:cs="仿宋"/>
                <w:color w:val="auto"/>
                <w:szCs w:val="21"/>
                <w:highlight w:val="none"/>
              </w:rPr>
            </w:pPr>
            <w:r>
              <w:rPr>
                <w:rFonts w:hint="eastAsia" w:ascii="仿宋" w:hAnsi="仿宋" w:eastAsia="仿宋" w:cs="仿宋"/>
                <w:color w:val="auto"/>
                <w:szCs w:val="21"/>
                <w:highlight w:val="none"/>
              </w:rPr>
              <w:t>1.3.2</w:t>
            </w:r>
          </w:p>
        </w:tc>
        <w:tc>
          <w:tcPr>
            <w:tcW w:w="1692" w:type="dxa"/>
            <w:tcBorders>
              <w:top w:val="single" w:color="auto" w:sz="4" w:space="0"/>
              <w:left w:val="single" w:color="auto" w:sz="4" w:space="0"/>
              <w:bottom w:val="single" w:color="auto" w:sz="4" w:space="0"/>
              <w:right w:val="single" w:color="auto" w:sz="4" w:space="0"/>
            </w:tcBorders>
            <w:noWrap/>
            <w:vAlign w:val="center"/>
          </w:tcPr>
          <w:p w14:paraId="19B9ED25">
            <w:pPr>
              <w:rPr>
                <w:rFonts w:ascii="仿宋" w:hAnsi="仿宋" w:eastAsia="仿宋" w:cs="仿宋"/>
                <w:color w:val="auto"/>
                <w:szCs w:val="21"/>
                <w:highlight w:val="none"/>
              </w:rPr>
            </w:pPr>
            <w:r>
              <w:rPr>
                <w:rFonts w:hint="eastAsia" w:ascii="仿宋" w:hAnsi="仿宋" w:eastAsia="仿宋" w:cs="仿宋"/>
                <w:color w:val="auto"/>
                <w:szCs w:val="21"/>
                <w:highlight w:val="none"/>
              </w:rPr>
              <w:t>服务期限</w:t>
            </w:r>
          </w:p>
        </w:tc>
        <w:tc>
          <w:tcPr>
            <w:tcW w:w="7800" w:type="dxa"/>
            <w:tcBorders>
              <w:top w:val="single" w:color="auto" w:sz="4" w:space="0"/>
              <w:left w:val="single" w:color="auto" w:sz="4" w:space="0"/>
              <w:bottom w:val="single" w:color="auto" w:sz="4" w:space="0"/>
              <w:right w:val="single" w:color="auto" w:sz="4" w:space="0"/>
            </w:tcBorders>
            <w:noWrap/>
            <w:vAlign w:val="center"/>
          </w:tcPr>
          <w:p w14:paraId="51167286">
            <w:pPr>
              <w:spacing w:line="420" w:lineRule="exact"/>
              <w:rPr>
                <w:rFonts w:hint="eastAsia" w:ascii="仿宋" w:hAnsi="仿宋" w:eastAsia="仿宋" w:cs="仿宋"/>
                <w:color w:val="auto"/>
                <w:szCs w:val="21"/>
                <w:highlight w:val="none"/>
                <w:lang w:eastAsia="zh-CN"/>
              </w:rPr>
            </w:pPr>
            <w:r>
              <w:rPr>
                <w:rFonts w:hint="eastAsia" w:ascii="仿宋" w:hAnsi="仿宋" w:eastAsia="仿宋" w:cs="仿宋"/>
                <w:bCs/>
                <w:color w:val="auto"/>
                <w:szCs w:val="21"/>
                <w:highlight w:val="none"/>
                <w:lang w:val="en-US" w:eastAsia="zh-CN"/>
              </w:rPr>
              <w:t>自合同签订之日起一</w:t>
            </w:r>
            <w:r>
              <w:rPr>
                <w:rFonts w:hint="eastAsia" w:ascii="仿宋" w:hAnsi="仿宋" w:eastAsia="仿宋" w:cs="仿宋"/>
                <w:bCs/>
                <w:color w:val="auto"/>
                <w:szCs w:val="21"/>
                <w:highlight w:val="none"/>
              </w:rPr>
              <w:t>年</w:t>
            </w:r>
            <w:r>
              <w:rPr>
                <w:rFonts w:hint="eastAsia" w:ascii="仿宋" w:hAnsi="仿宋" w:eastAsia="仿宋" w:cs="仿宋"/>
                <w:bCs/>
                <w:color w:val="auto"/>
                <w:szCs w:val="21"/>
                <w:highlight w:val="none"/>
                <w:lang w:eastAsia="zh-CN"/>
              </w:rPr>
              <w:t>。</w:t>
            </w:r>
          </w:p>
        </w:tc>
      </w:tr>
      <w:tr w14:paraId="0CEB3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7DE8D41B">
            <w:pPr>
              <w:rPr>
                <w:rFonts w:ascii="仿宋" w:hAnsi="仿宋" w:eastAsia="仿宋" w:cs="仿宋"/>
                <w:color w:val="auto"/>
                <w:szCs w:val="21"/>
                <w:highlight w:val="none"/>
              </w:rPr>
            </w:pPr>
            <w:r>
              <w:rPr>
                <w:rFonts w:hint="eastAsia" w:ascii="仿宋" w:hAnsi="仿宋" w:eastAsia="仿宋" w:cs="仿宋"/>
                <w:color w:val="auto"/>
                <w:szCs w:val="21"/>
                <w:highlight w:val="none"/>
              </w:rPr>
              <w:t>1.3.3</w:t>
            </w:r>
          </w:p>
        </w:tc>
        <w:tc>
          <w:tcPr>
            <w:tcW w:w="1692" w:type="dxa"/>
            <w:tcBorders>
              <w:top w:val="single" w:color="auto" w:sz="4" w:space="0"/>
              <w:left w:val="single" w:color="auto" w:sz="4" w:space="0"/>
              <w:bottom w:val="single" w:color="auto" w:sz="4" w:space="0"/>
              <w:right w:val="single" w:color="auto" w:sz="4" w:space="0"/>
            </w:tcBorders>
            <w:noWrap/>
            <w:vAlign w:val="center"/>
          </w:tcPr>
          <w:p w14:paraId="65E81484">
            <w:pPr>
              <w:rPr>
                <w:rFonts w:ascii="仿宋" w:hAnsi="仿宋" w:eastAsia="仿宋" w:cs="仿宋"/>
                <w:color w:val="auto"/>
                <w:szCs w:val="21"/>
                <w:highlight w:val="none"/>
              </w:rPr>
            </w:pPr>
            <w:r>
              <w:rPr>
                <w:rFonts w:hint="eastAsia" w:ascii="仿宋" w:hAnsi="仿宋" w:eastAsia="仿宋" w:cs="仿宋"/>
                <w:color w:val="auto"/>
                <w:szCs w:val="21"/>
                <w:highlight w:val="none"/>
              </w:rPr>
              <w:t>项目实施地点</w:t>
            </w:r>
          </w:p>
        </w:tc>
        <w:tc>
          <w:tcPr>
            <w:tcW w:w="7800" w:type="dxa"/>
            <w:tcBorders>
              <w:top w:val="single" w:color="auto" w:sz="4" w:space="0"/>
              <w:left w:val="single" w:color="auto" w:sz="4" w:space="0"/>
              <w:bottom w:val="single" w:color="auto" w:sz="4" w:space="0"/>
              <w:right w:val="single" w:color="auto" w:sz="4" w:space="0"/>
            </w:tcBorders>
            <w:noWrap/>
            <w:vAlign w:val="center"/>
          </w:tcPr>
          <w:p w14:paraId="33990951">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采购人指定地点</w:t>
            </w:r>
            <w:r>
              <w:rPr>
                <w:rFonts w:hint="eastAsia" w:ascii="仿宋" w:hAnsi="仿宋" w:eastAsia="仿宋" w:cs="仿宋"/>
                <w:color w:val="auto"/>
                <w:szCs w:val="21"/>
                <w:highlight w:val="none"/>
                <w:lang w:eastAsia="zh-CN"/>
              </w:rPr>
              <w:t>。</w:t>
            </w:r>
          </w:p>
        </w:tc>
      </w:tr>
      <w:tr w14:paraId="2368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174E16BF">
            <w:pPr>
              <w:rPr>
                <w:rFonts w:ascii="仿宋" w:hAnsi="仿宋" w:eastAsia="仿宋" w:cs="仿宋"/>
                <w:color w:val="auto"/>
                <w:szCs w:val="21"/>
                <w:highlight w:val="none"/>
              </w:rPr>
            </w:pPr>
            <w:r>
              <w:rPr>
                <w:rFonts w:hint="eastAsia" w:ascii="仿宋" w:hAnsi="仿宋" w:eastAsia="仿宋" w:cs="仿宋"/>
                <w:color w:val="auto"/>
                <w:szCs w:val="21"/>
                <w:highlight w:val="none"/>
              </w:rPr>
              <w:t>1.3.4</w:t>
            </w:r>
          </w:p>
        </w:tc>
        <w:tc>
          <w:tcPr>
            <w:tcW w:w="1692" w:type="dxa"/>
            <w:tcBorders>
              <w:top w:val="single" w:color="auto" w:sz="4" w:space="0"/>
              <w:left w:val="single" w:color="auto" w:sz="4" w:space="0"/>
              <w:bottom w:val="single" w:color="auto" w:sz="4" w:space="0"/>
              <w:right w:val="single" w:color="auto" w:sz="4" w:space="0"/>
            </w:tcBorders>
            <w:noWrap/>
            <w:vAlign w:val="center"/>
          </w:tcPr>
          <w:p w14:paraId="108E8613">
            <w:pPr>
              <w:rPr>
                <w:rFonts w:ascii="仿宋" w:hAnsi="仿宋" w:eastAsia="仿宋" w:cs="仿宋"/>
                <w:color w:val="auto"/>
                <w:szCs w:val="21"/>
                <w:highlight w:val="none"/>
              </w:rPr>
            </w:pPr>
            <w:r>
              <w:rPr>
                <w:rFonts w:hint="eastAsia" w:ascii="仿宋" w:hAnsi="仿宋" w:eastAsia="仿宋" w:cs="仿宋"/>
                <w:color w:val="auto"/>
                <w:szCs w:val="21"/>
                <w:highlight w:val="none"/>
              </w:rPr>
              <w:t>质量要求</w:t>
            </w:r>
          </w:p>
        </w:tc>
        <w:tc>
          <w:tcPr>
            <w:tcW w:w="7800" w:type="dxa"/>
            <w:tcBorders>
              <w:top w:val="single" w:color="auto" w:sz="4" w:space="0"/>
              <w:left w:val="single" w:color="auto" w:sz="4" w:space="0"/>
              <w:bottom w:val="single" w:color="auto" w:sz="4" w:space="0"/>
              <w:right w:val="single" w:color="auto" w:sz="4" w:space="0"/>
            </w:tcBorders>
            <w:noWrap/>
            <w:vAlign w:val="center"/>
          </w:tcPr>
          <w:p w14:paraId="2DBDADFC">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满足现行相关行业要求及采购人需求</w:t>
            </w:r>
            <w:r>
              <w:rPr>
                <w:rFonts w:hint="eastAsia" w:ascii="仿宋" w:hAnsi="仿宋" w:eastAsia="仿宋" w:cs="仿宋"/>
                <w:color w:val="auto"/>
                <w:szCs w:val="21"/>
                <w:highlight w:val="none"/>
                <w:lang w:eastAsia="zh-CN"/>
              </w:rPr>
              <w:t>。</w:t>
            </w:r>
          </w:p>
        </w:tc>
      </w:tr>
      <w:tr w14:paraId="14BC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1EB46FCB">
            <w:pPr>
              <w:rPr>
                <w:rFonts w:ascii="仿宋" w:hAnsi="仿宋" w:eastAsia="仿宋" w:cs="仿宋"/>
                <w:color w:val="auto"/>
                <w:szCs w:val="21"/>
                <w:highlight w:val="none"/>
              </w:rPr>
            </w:pPr>
            <w:r>
              <w:rPr>
                <w:rFonts w:hint="eastAsia" w:ascii="仿宋" w:hAnsi="仿宋" w:eastAsia="仿宋" w:cs="仿宋"/>
                <w:color w:val="auto"/>
                <w:szCs w:val="21"/>
                <w:highlight w:val="none"/>
              </w:rPr>
              <w:t>1.4.1</w:t>
            </w:r>
          </w:p>
        </w:tc>
        <w:tc>
          <w:tcPr>
            <w:tcW w:w="1692" w:type="dxa"/>
            <w:tcBorders>
              <w:top w:val="single" w:color="auto" w:sz="4" w:space="0"/>
              <w:left w:val="single" w:color="auto" w:sz="4" w:space="0"/>
              <w:bottom w:val="single" w:color="auto" w:sz="4" w:space="0"/>
              <w:right w:val="single" w:color="auto" w:sz="4" w:space="0"/>
            </w:tcBorders>
            <w:noWrap/>
            <w:vAlign w:val="center"/>
          </w:tcPr>
          <w:p w14:paraId="5AAECC8F">
            <w:pPr>
              <w:rPr>
                <w:rFonts w:ascii="仿宋" w:hAnsi="仿宋" w:eastAsia="仿宋" w:cs="仿宋"/>
                <w:color w:val="auto"/>
                <w:szCs w:val="21"/>
                <w:highlight w:val="none"/>
              </w:rPr>
            </w:pPr>
            <w:r>
              <w:rPr>
                <w:rFonts w:hint="eastAsia" w:ascii="仿宋" w:hAnsi="仿宋" w:eastAsia="仿宋" w:cs="仿宋"/>
                <w:color w:val="auto"/>
                <w:szCs w:val="21"/>
                <w:highlight w:val="none"/>
              </w:rPr>
              <w:t>供应商资格要求</w:t>
            </w:r>
          </w:p>
        </w:tc>
        <w:tc>
          <w:tcPr>
            <w:tcW w:w="7800" w:type="dxa"/>
            <w:tcBorders>
              <w:top w:val="single" w:color="auto" w:sz="4" w:space="0"/>
              <w:left w:val="single" w:color="auto" w:sz="4" w:space="0"/>
              <w:bottom w:val="single" w:color="auto" w:sz="4" w:space="0"/>
              <w:right w:val="single" w:color="auto" w:sz="4" w:space="0"/>
            </w:tcBorders>
            <w:noWrap/>
            <w:vAlign w:val="center"/>
          </w:tcPr>
          <w:p w14:paraId="21E57D94">
            <w:pPr>
              <w:spacing w:line="42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详见竞争性磋商公告。</w:t>
            </w:r>
          </w:p>
        </w:tc>
      </w:tr>
      <w:tr w14:paraId="15D6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10985609">
            <w:pPr>
              <w:rPr>
                <w:rFonts w:ascii="仿宋" w:hAnsi="仿宋" w:eastAsia="仿宋" w:cs="仿宋"/>
                <w:color w:val="auto"/>
                <w:szCs w:val="21"/>
                <w:highlight w:val="none"/>
              </w:rPr>
            </w:pPr>
            <w:r>
              <w:rPr>
                <w:rFonts w:hint="eastAsia" w:ascii="仿宋" w:hAnsi="仿宋" w:eastAsia="仿宋" w:cs="仿宋"/>
                <w:color w:val="auto"/>
                <w:szCs w:val="21"/>
                <w:highlight w:val="none"/>
              </w:rPr>
              <w:t>1.4.2</w:t>
            </w:r>
          </w:p>
        </w:tc>
        <w:tc>
          <w:tcPr>
            <w:tcW w:w="1692" w:type="dxa"/>
            <w:tcBorders>
              <w:top w:val="single" w:color="auto" w:sz="4" w:space="0"/>
              <w:left w:val="single" w:color="auto" w:sz="4" w:space="0"/>
              <w:bottom w:val="single" w:color="auto" w:sz="4" w:space="0"/>
              <w:right w:val="single" w:color="auto" w:sz="4" w:space="0"/>
            </w:tcBorders>
            <w:noWrap/>
            <w:vAlign w:val="center"/>
          </w:tcPr>
          <w:p w14:paraId="6D66672D">
            <w:pPr>
              <w:rPr>
                <w:rFonts w:ascii="仿宋" w:hAnsi="仿宋" w:eastAsia="仿宋" w:cs="仿宋"/>
                <w:color w:val="auto"/>
                <w:szCs w:val="21"/>
                <w:highlight w:val="none"/>
              </w:rPr>
            </w:pPr>
            <w:r>
              <w:rPr>
                <w:rFonts w:hint="eastAsia" w:ascii="仿宋" w:hAnsi="仿宋" w:eastAsia="仿宋" w:cs="仿宋"/>
                <w:color w:val="auto"/>
                <w:szCs w:val="21"/>
                <w:highlight w:val="none"/>
              </w:rPr>
              <w:t>是否接受联合体投标（磋商）</w:t>
            </w:r>
          </w:p>
        </w:tc>
        <w:tc>
          <w:tcPr>
            <w:tcW w:w="7800" w:type="dxa"/>
            <w:tcBorders>
              <w:top w:val="single" w:color="auto" w:sz="4" w:space="0"/>
              <w:left w:val="single" w:color="auto" w:sz="4" w:space="0"/>
              <w:bottom w:val="single" w:color="auto" w:sz="4" w:space="0"/>
              <w:right w:val="single" w:color="auto" w:sz="4" w:space="0"/>
            </w:tcBorders>
            <w:noWrap/>
            <w:vAlign w:val="center"/>
          </w:tcPr>
          <w:p w14:paraId="29C0485E">
            <w:pPr>
              <w:rPr>
                <w:rFonts w:hint="eastAsia" w:ascii="仿宋" w:hAnsi="仿宋" w:eastAsia="仿宋" w:cs="仿宋"/>
                <w:color w:val="auto"/>
                <w:szCs w:val="21"/>
                <w:highlight w:val="none"/>
                <w:lang w:val="zh-CN" w:eastAsia="zh-CN"/>
              </w:rPr>
            </w:pPr>
            <w:r>
              <w:rPr>
                <w:rFonts w:hint="eastAsia" w:ascii="仿宋" w:hAnsi="仿宋" w:eastAsia="仿宋" w:cs="仿宋"/>
                <w:color w:val="auto"/>
                <w:szCs w:val="21"/>
                <w:highlight w:val="none"/>
              </w:rPr>
              <w:t>本次竞争性磋商不接受联合体参与磋商</w:t>
            </w:r>
            <w:r>
              <w:rPr>
                <w:rFonts w:hint="eastAsia" w:ascii="仿宋" w:hAnsi="仿宋" w:eastAsia="仿宋" w:cs="仿宋"/>
                <w:color w:val="auto"/>
                <w:szCs w:val="21"/>
                <w:highlight w:val="none"/>
                <w:lang w:eastAsia="zh-CN"/>
              </w:rPr>
              <w:t>。</w:t>
            </w:r>
          </w:p>
        </w:tc>
      </w:tr>
      <w:tr w14:paraId="0663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6FD86642">
            <w:pPr>
              <w:rPr>
                <w:rFonts w:ascii="仿宋" w:hAnsi="仿宋" w:eastAsia="仿宋" w:cs="仿宋"/>
                <w:color w:val="auto"/>
                <w:szCs w:val="21"/>
                <w:highlight w:val="none"/>
              </w:rPr>
            </w:pPr>
            <w:r>
              <w:rPr>
                <w:rFonts w:hint="eastAsia" w:ascii="仿宋" w:hAnsi="仿宋" w:eastAsia="仿宋" w:cs="仿宋"/>
                <w:color w:val="auto"/>
                <w:szCs w:val="21"/>
                <w:highlight w:val="none"/>
              </w:rPr>
              <w:t>1.9.1</w:t>
            </w:r>
          </w:p>
        </w:tc>
        <w:tc>
          <w:tcPr>
            <w:tcW w:w="1692" w:type="dxa"/>
            <w:tcBorders>
              <w:top w:val="single" w:color="auto" w:sz="4" w:space="0"/>
              <w:left w:val="single" w:color="auto" w:sz="4" w:space="0"/>
              <w:bottom w:val="single" w:color="auto" w:sz="4" w:space="0"/>
              <w:right w:val="single" w:color="auto" w:sz="4" w:space="0"/>
            </w:tcBorders>
            <w:noWrap/>
            <w:vAlign w:val="center"/>
          </w:tcPr>
          <w:p w14:paraId="4B221C9B">
            <w:pPr>
              <w:rPr>
                <w:rFonts w:ascii="仿宋" w:hAnsi="仿宋" w:eastAsia="仿宋" w:cs="仿宋"/>
                <w:color w:val="auto"/>
                <w:szCs w:val="21"/>
                <w:highlight w:val="none"/>
              </w:rPr>
            </w:pPr>
            <w:r>
              <w:rPr>
                <w:rFonts w:hint="eastAsia" w:ascii="仿宋" w:hAnsi="仿宋" w:eastAsia="仿宋" w:cs="仿宋"/>
                <w:color w:val="auto"/>
                <w:szCs w:val="21"/>
                <w:highlight w:val="none"/>
              </w:rPr>
              <w:t>磋商预备会</w:t>
            </w:r>
          </w:p>
        </w:tc>
        <w:tc>
          <w:tcPr>
            <w:tcW w:w="7800" w:type="dxa"/>
            <w:tcBorders>
              <w:top w:val="single" w:color="auto" w:sz="4" w:space="0"/>
              <w:left w:val="single" w:color="auto" w:sz="4" w:space="0"/>
              <w:bottom w:val="single" w:color="auto" w:sz="4" w:space="0"/>
              <w:right w:val="single" w:color="auto" w:sz="4" w:space="0"/>
            </w:tcBorders>
            <w:noWrap/>
            <w:vAlign w:val="center"/>
          </w:tcPr>
          <w:p w14:paraId="5E0CA624">
            <w:pPr>
              <w:rPr>
                <w:rFonts w:ascii="仿宋" w:hAnsi="仿宋" w:eastAsia="仿宋" w:cs="仿宋"/>
                <w:color w:val="auto"/>
                <w:szCs w:val="21"/>
                <w:highlight w:val="none"/>
              </w:rPr>
            </w:pPr>
            <w:r>
              <w:rPr>
                <w:rFonts w:hint="eastAsia" w:ascii="仿宋" w:hAnsi="仿宋" w:eastAsia="仿宋" w:cs="仿宋"/>
                <w:color w:val="auto"/>
                <w:szCs w:val="21"/>
                <w:highlight w:val="none"/>
              </w:rPr>
              <w:t>不召开</w:t>
            </w:r>
          </w:p>
        </w:tc>
      </w:tr>
      <w:tr w14:paraId="12D5E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60497DEB">
            <w:pPr>
              <w:rPr>
                <w:rFonts w:ascii="仿宋" w:hAnsi="仿宋" w:eastAsia="仿宋" w:cs="仿宋"/>
                <w:color w:val="auto"/>
                <w:szCs w:val="21"/>
                <w:highlight w:val="none"/>
              </w:rPr>
            </w:pPr>
            <w:bookmarkStart w:id="57" w:name="OLE_LINK1"/>
            <w:bookmarkStart w:id="58" w:name="OLE_LINK2"/>
            <w:bookmarkStart w:id="59" w:name="_Hlk243289231"/>
            <w:r>
              <w:rPr>
                <w:rFonts w:hint="eastAsia" w:ascii="仿宋" w:hAnsi="仿宋" w:eastAsia="仿宋" w:cs="仿宋"/>
                <w:color w:val="auto"/>
                <w:szCs w:val="21"/>
                <w:highlight w:val="none"/>
              </w:rPr>
              <w:t>1.9.2</w:t>
            </w:r>
          </w:p>
        </w:tc>
        <w:tc>
          <w:tcPr>
            <w:tcW w:w="1692" w:type="dxa"/>
            <w:tcBorders>
              <w:top w:val="single" w:color="auto" w:sz="4" w:space="0"/>
              <w:left w:val="single" w:color="auto" w:sz="4" w:space="0"/>
              <w:bottom w:val="single" w:color="auto" w:sz="4" w:space="0"/>
              <w:right w:val="single" w:color="auto" w:sz="4" w:space="0"/>
            </w:tcBorders>
            <w:noWrap/>
            <w:vAlign w:val="center"/>
          </w:tcPr>
          <w:p w14:paraId="5CADD2E2">
            <w:pPr>
              <w:rPr>
                <w:rFonts w:ascii="仿宋" w:hAnsi="仿宋" w:eastAsia="仿宋" w:cs="仿宋"/>
                <w:color w:val="auto"/>
                <w:szCs w:val="21"/>
                <w:highlight w:val="none"/>
              </w:rPr>
            </w:pPr>
            <w:r>
              <w:rPr>
                <w:rFonts w:hint="eastAsia" w:ascii="仿宋" w:hAnsi="仿宋" w:eastAsia="仿宋" w:cs="仿宋"/>
                <w:color w:val="auto"/>
                <w:szCs w:val="21"/>
                <w:highlight w:val="none"/>
              </w:rPr>
              <w:t>供应商提出问题的截止时间</w:t>
            </w:r>
          </w:p>
        </w:tc>
        <w:tc>
          <w:tcPr>
            <w:tcW w:w="7800" w:type="dxa"/>
            <w:tcBorders>
              <w:top w:val="single" w:color="auto" w:sz="4" w:space="0"/>
              <w:left w:val="single" w:color="auto" w:sz="4" w:space="0"/>
              <w:bottom w:val="single" w:color="auto" w:sz="4" w:space="0"/>
              <w:right w:val="single" w:color="auto" w:sz="4" w:space="0"/>
            </w:tcBorders>
            <w:noWrap/>
            <w:vAlign w:val="center"/>
          </w:tcPr>
          <w:p w14:paraId="79DB0629">
            <w:pPr>
              <w:rPr>
                <w:rFonts w:ascii="仿宋" w:hAnsi="仿宋" w:eastAsia="仿宋" w:cs="仿宋"/>
                <w:color w:val="auto"/>
                <w:szCs w:val="21"/>
                <w:highlight w:val="none"/>
              </w:rPr>
            </w:pPr>
            <w:r>
              <w:rPr>
                <w:rFonts w:hint="eastAsia" w:ascii="仿宋" w:hAnsi="仿宋" w:eastAsia="仿宋" w:cs="仿宋"/>
                <w:color w:val="auto"/>
                <w:szCs w:val="21"/>
                <w:highlight w:val="none"/>
              </w:rPr>
              <w:t>磋商截止时间5日前，请按公告上的联系方式，联系采购人。</w:t>
            </w:r>
          </w:p>
        </w:tc>
      </w:tr>
      <w:bookmarkEnd w:id="57"/>
      <w:bookmarkEnd w:id="58"/>
      <w:bookmarkEnd w:id="59"/>
      <w:tr w14:paraId="0DE5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754F1F38">
            <w:pPr>
              <w:rPr>
                <w:rFonts w:ascii="仿宋" w:hAnsi="仿宋" w:eastAsia="仿宋" w:cs="仿宋"/>
                <w:color w:val="auto"/>
                <w:szCs w:val="21"/>
                <w:highlight w:val="none"/>
              </w:rPr>
            </w:pPr>
            <w:r>
              <w:rPr>
                <w:rFonts w:hint="eastAsia" w:ascii="仿宋" w:hAnsi="仿宋" w:eastAsia="仿宋" w:cs="仿宋"/>
                <w:color w:val="auto"/>
                <w:szCs w:val="21"/>
                <w:highlight w:val="none"/>
              </w:rPr>
              <w:t>1.9.3</w:t>
            </w:r>
          </w:p>
        </w:tc>
        <w:tc>
          <w:tcPr>
            <w:tcW w:w="1692" w:type="dxa"/>
            <w:tcBorders>
              <w:top w:val="single" w:color="auto" w:sz="4" w:space="0"/>
              <w:left w:val="single" w:color="auto" w:sz="4" w:space="0"/>
              <w:bottom w:val="single" w:color="auto" w:sz="4" w:space="0"/>
              <w:right w:val="single" w:color="auto" w:sz="4" w:space="0"/>
            </w:tcBorders>
            <w:noWrap/>
            <w:vAlign w:val="center"/>
          </w:tcPr>
          <w:p w14:paraId="440D1063">
            <w:pPr>
              <w:rPr>
                <w:rFonts w:ascii="仿宋" w:hAnsi="仿宋" w:eastAsia="仿宋" w:cs="仿宋"/>
                <w:color w:val="auto"/>
                <w:szCs w:val="21"/>
                <w:highlight w:val="none"/>
              </w:rPr>
            </w:pPr>
            <w:r>
              <w:rPr>
                <w:rFonts w:hint="eastAsia" w:ascii="仿宋" w:hAnsi="仿宋" w:eastAsia="仿宋" w:cs="仿宋"/>
                <w:color w:val="auto"/>
                <w:szCs w:val="21"/>
                <w:highlight w:val="none"/>
              </w:rPr>
              <w:t>采购人书面</w:t>
            </w:r>
          </w:p>
          <w:p w14:paraId="39198353">
            <w:pPr>
              <w:rPr>
                <w:rFonts w:ascii="仿宋" w:hAnsi="仿宋" w:eastAsia="仿宋" w:cs="仿宋"/>
                <w:color w:val="auto"/>
                <w:szCs w:val="21"/>
                <w:highlight w:val="none"/>
              </w:rPr>
            </w:pPr>
            <w:r>
              <w:rPr>
                <w:rFonts w:hint="eastAsia" w:ascii="仿宋" w:hAnsi="仿宋" w:eastAsia="仿宋" w:cs="仿宋"/>
                <w:color w:val="auto"/>
                <w:szCs w:val="21"/>
                <w:highlight w:val="none"/>
              </w:rPr>
              <w:t>澄清的时间</w:t>
            </w:r>
          </w:p>
        </w:tc>
        <w:tc>
          <w:tcPr>
            <w:tcW w:w="7800" w:type="dxa"/>
            <w:tcBorders>
              <w:top w:val="single" w:color="auto" w:sz="4" w:space="0"/>
              <w:left w:val="single" w:color="auto" w:sz="4" w:space="0"/>
              <w:bottom w:val="single" w:color="auto" w:sz="4" w:space="0"/>
              <w:right w:val="single" w:color="auto" w:sz="4" w:space="0"/>
            </w:tcBorders>
            <w:noWrap/>
            <w:vAlign w:val="center"/>
          </w:tcPr>
          <w:p w14:paraId="4DDB2B15">
            <w:pPr>
              <w:rPr>
                <w:rFonts w:ascii="仿宋" w:hAnsi="仿宋" w:eastAsia="仿宋" w:cs="仿宋"/>
                <w:color w:val="auto"/>
                <w:szCs w:val="21"/>
                <w:highlight w:val="none"/>
              </w:rPr>
            </w:pPr>
            <w:r>
              <w:rPr>
                <w:rFonts w:hint="eastAsia" w:ascii="仿宋" w:hAnsi="仿宋" w:eastAsia="仿宋" w:cs="仿宋"/>
                <w:color w:val="auto"/>
                <w:szCs w:val="21"/>
                <w:highlight w:val="none"/>
              </w:rPr>
              <w:t>磋商截止时间5日前</w:t>
            </w:r>
          </w:p>
        </w:tc>
      </w:tr>
      <w:tr w14:paraId="6A2B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4C0C15A0">
            <w:pPr>
              <w:rPr>
                <w:rFonts w:ascii="仿宋" w:hAnsi="仿宋" w:eastAsia="仿宋" w:cs="仿宋"/>
                <w:color w:val="auto"/>
                <w:szCs w:val="21"/>
                <w:highlight w:val="none"/>
              </w:rPr>
            </w:pPr>
            <w:r>
              <w:rPr>
                <w:rFonts w:hint="eastAsia" w:ascii="仿宋" w:hAnsi="仿宋" w:eastAsia="仿宋" w:cs="仿宋"/>
                <w:color w:val="auto"/>
                <w:szCs w:val="21"/>
                <w:highlight w:val="none"/>
              </w:rPr>
              <w:t>1.10</w:t>
            </w:r>
          </w:p>
        </w:tc>
        <w:tc>
          <w:tcPr>
            <w:tcW w:w="1692" w:type="dxa"/>
            <w:tcBorders>
              <w:top w:val="single" w:color="auto" w:sz="4" w:space="0"/>
              <w:left w:val="single" w:color="auto" w:sz="4" w:space="0"/>
              <w:bottom w:val="single" w:color="auto" w:sz="4" w:space="0"/>
              <w:right w:val="single" w:color="auto" w:sz="4" w:space="0"/>
            </w:tcBorders>
            <w:noWrap/>
            <w:vAlign w:val="center"/>
          </w:tcPr>
          <w:p w14:paraId="6B55D8AD">
            <w:pPr>
              <w:rPr>
                <w:rFonts w:ascii="仿宋" w:hAnsi="仿宋" w:eastAsia="仿宋" w:cs="仿宋"/>
                <w:color w:val="auto"/>
                <w:szCs w:val="21"/>
                <w:highlight w:val="none"/>
              </w:rPr>
            </w:pPr>
            <w:r>
              <w:rPr>
                <w:rFonts w:hint="eastAsia" w:ascii="仿宋" w:hAnsi="仿宋" w:eastAsia="仿宋" w:cs="仿宋"/>
                <w:color w:val="auto"/>
                <w:szCs w:val="21"/>
                <w:highlight w:val="none"/>
              </w:rPr>
              <w:t>偏离</w:t>
            </w:r>
          </w:p>
        </w:tc>
        <w:tc>
          <w:tcPr>
            <w:tcW w:w="7800" w:type="dxa"/>
            <w:tcBorders>
              <w:top w:val="single" w:color="auto" w:sz="4" w:space="0"/>
              <w:left w:val="single" w:color="auto" w:sz="4" w:space="0"/>
              <w:bottom w:val="single" w:color="auto" w:sz="4" w:space="0"/>
              <w:right w:val="single" w:color="auto" w:sz="4" w:space="0"/>
            </w:tcBorders>
            <w:noWrap/>
            <w:vAlign w:val="center"/>
          </w:tcPr>
          <w:p w14:paraId="2F250571">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允许优于竞争性磋商文件要求的正向偏离</w:t>
            </w:r>
            <w:r>
              <w:rPr>
                <w:rFonts w:hint="eastAsia" w:ascii="仿宋" w:hAnsi="仿宋" w:eastAsia="仿宋" w:cs="仿宋"/>
                <w:color w:val="auto"/>
                <w:szCs w:val="21"/>
                <w:highlight w:val="none"/>
                <w:lang w:eastAsia="zh-CN"/>
              </w:rPr>
              <w:t>。</w:t>
            </w:r>
          </w:p>
        </w:tc>
      </w:tr>
      <w:tr w14:paraId="3F23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6F0F8745">
            <w:pPr>
              <w:rPr>
                <w:rFonts w:ascii="仿宋" w:hAnsi="仿宋" w:eastAsia="仿宋" w:cs="仿宋"/>
                <w:color w:val="auto"/>
                <w:szCs w:val="21"/>
                <w:highlight w:val="none"/>
              </w:rPr>
            </w:pPr>
            <w:r>
              <w:rPr>
                <w:rFonts w:hint="eastAsia" w:ascii="仿宋" w:hAnsi="仿宋" w:eastAsia="仿宋" w:cs="仿宋"/>
                <w:color w:val="auto"/>
                <w:szCs w:val="21"/>
                <w:highlight w:val="none"/>
              </w:rPr>
              <w:t>2.2.3</w:t>
            </w:r>
          </w:p>
        </w:tc>
        <w:tc>
          <w:tcPr>
            <w:tcW w:w="1692" w:type="dxa"/>
            <w:tcBorders>
              <w:top w:val="single" w:color="auto" w:sz="4" w:space="0"/>
              <w:left w:val="single" w:color="auto" w:sz="4" w:space="0"/>
              <w:bottom w:val="single" w:color="auto" w:sz="4" w:space="0"/>
              <w:right w:val="single" w:color="auto" w:sz="4" w:space="0"/>
            </w:tcBorders>
            <w:noWrap/>
          </w:tcPr>
          <w:p w14:paraId="692ACE6C">
            <w:pPr>
              <w:rPr>
                <w:rFonts w:ascii="仿宋" w:hAnsi="仿宋" w:eastAsia="仿宋" w:cs="仿宋"/>
                <w:color w:val="auto"/>
                <w:szCs w:val="21"/>
                <w:highlight w:val="none"/>
              </w:rPr>
            </w:pPr>
            <w:r>
              <w:rPr>
                <w:rFonts w:hint="eastAsia" w:ascii="仿宋" w:hAnsi="仿宋" w:eastAsia="仿宋" w:cs="仿宋"/>
                <w:color w:val="auto"/>
                <w:szCs w:val="21"/>
                <w:highlight w:val="none"/>
              </w:rPr>
              <w:t>竞争性磋商文件澄清或者修改发出的形式</w:t>
            </w:r>
          </w:p>
        </w:tc>
        <w:tc>
          <w:tcPr>
            <w:tcW w:w="7800" w:type="dxa"/>
            <w:tcBorders>
              <w:top w:val="single" w:color="auto" w:sz="4" w:space="0"/>
              <w:left w:val="single" w:color="auto" w:sz="4" w:space="0"/>
              <w:bottom w:val="single" w:color="auto" w:sz="4" w:space="0"/>
              <w:right w:val="single" w:color="auto" w:sz="4" w:space="0"/>
            </w:tcBorders>
            <w:noWrap/>
          </w:tcPr>
          <w:p w14:paraId="0E8648DB">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在原公告发布媒体上发布更正公告， 并以书面形式通知所有获取竞争性磋商文件的潜在供应商</w:t>
            </w:r>
            <w:r>
              <w:rPr>
                <w:rFonts w:hint="eastAsia" w:ascii="仿宋" w:hAnsi="仿宋" w:eastAsia="仿宋" w:cs="仿宋"/>
                <w:color w:val="auto"/>
                <w:szCs w:val="21"/>
                <w:highlight w:val="none"/>
                <w:lang w:eastAsia="zh-CN"/>
              </w:rPr>
              <w:t>。</w:t>
            </w:r>
          </w:p>
        </w:tc>
      </w:tr>
      <w:tr w14:paraId="3FCC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6807FF9C">
            <w:pPr>
              <w:rPr>
                <w:rFonts w:ascii="仿宋" w:hAnsi="仿宋" w:eastAsia="仿宋" w:cs="仿宋"/>
                <w:color w:val="auto"/>
                <w:szCs w:val="21"/>
                <w:highlight w:val="none"/>
              </w:rPr>
            </w:pPr>
            <w:r>
              <w:rPr>
                <w:rFonts w:hint="eastAsia" w:ascii="仿宋" w:hAnsi="仿宋" w:eastAsia="仿宋" w:cs="仿宋"/>
                <w:color w:val="auto"/>
                <w:szCs w:val="21"/>
                <w:highlight w:val="none"/>
              </w:rPr>
              <w:t>2.3.2</w:t>
            </w:r>
          </w:p>
        </w:tc>
        <w:tc>
          <w:tcPr>
            <w:tcW w:w="1692" w:type="dxa"/>
            <w:tcBorders>
              <w:top w:val="single" w:color="auto" w:sz="4" w:space="0"/>
              <w:left w:val="single" w:color="auto" w:sz="4" w:space="0"/>
              <w:bottom w:val="single" w:color="auto" w:sz="4" w:space="0"/>
              <w:right w:val="single" w:color="auto" w:sz="4" w:space="0"/>
            </w:tcBorders>
            <w:noWrap/>
            <w:vAlign w:val="center"/>
          </w:tcPr>
          <w:p w14:paraId="348C64B4">
            <w:pPr>
              <w:rPr>
                <w:rFonts w:ascii="仿宋" w:hAnsi="仿宋" w:eastAsia="仿宋" w:cs="仿宋"/>
                <w:color w:val="auto"/>
                <w:szCs w:val="21"/>
                <w:highlight w:val="none"/>
              </w:rPr>
            </w:pPr>
            <w:r>
              <w:rPr>
                <w:rFonts w:hint="eastAsia" w:ascii="仿宋" w:hAnsi="仿宋" w:eastAsia="仿宋" w:cs="仿宋"/>
                <w:color w:val="auto"/>
                <w:szCs w:val="21"/>
                <w:highlight w:val="none"/>
              </w:rPr>
              <w:t>供应商确认收到竞争性磋商文件澄清、修改的时间</w:t>
            </w:r>
          </w:p>
        </w:tc>
        <w:tc>
          <w:tcPr>
            <w:tcW w:w="7800" w:type="dxa"/>
            <w:tcBorders>
              <w:top w:val="single" w:color="auto" w:sz="4" w:space="0"/>
              <w:left w:val="single" w:color="auto" w:sz="4" w:space="0"/>
              <w:bottom w:val="single" w:color="auto" w:sz="4" w:space="0"/>
              <w:right w:val="single" w:color="auto" w:sz="4" w:space="0"/>
            </w:tcBorders>
            <w:noWrap/>
            <w:vAlign w:val="center"/>
          </w:tcPr>
          <w:p w14:paraId="50A682ED">
            <w:pPr>
              <w:rPr>
                <w:rFonts w:ascii="仿宋" w:hAnsi="仿宋" w:eastAsia="仿宋" w:cs="仿宋"/>
                <w:color w:val="auto"/>
                <w:szCs w:val="21"/>
                <w:highlight w:val="none"/>
              </w:rPr>
            </w:pPr>
            <w:r>
              <w:rPr>
                <w:rFonts w:hint="eastAsia" w:ascii="仿宋" w:hAnsi="仿宋" w:eastAsia="仿宋" w:cs="仿宋"/>
                <w:color w:val="auto"/>
                <w:szCs w:val="21"/>
                <w:highlight w:val="none"/>
              </w:rPr>
              <w:t>时间：24 小时内</w:t>
            </w:r>
          </w:p>
          <w:p w14:paraId="4CCFCC44">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形式：盖章确认后，以电子邮件形式向采购</w:t>
            </w:r>
            <w:r>
              <w:rPr>
                <w:rFonts w:hint="eastAsia" w:ascii="仿宋" w:hAnsi="仿宋" w:eastAsia="仿宋" w:cs="仿宋"/>
                <w:color w:val="auto"/>
                <w:szCs w:val="21"/>
                <w:highlight w:val="none"/>
                <w:lang w:val="en-US" w:eastAsia="zh-CN"/>
              </w:rPr>
              <w:t>人</w:t>
            </w:r>
            <w:r>
              <w:rPr>
                <w:rFonts w:hint="eastAsia" w:ascii="仿宋" w:hAnsi="仿宋" w:eastAsia="仿宋" w:cs="仿宋"/>
                <w:color w:val="auto"/>
                <w:szCs w:val="21"/>
                <w:highlight w:val="none"/>
              </w:rPr>
              <w:t>发送扫描件</w:t>
            </w:r>
            <w:r>
              <w:rPr>
                <w:rFonts w:hint="eastAsia" w:ascii="仿宋" w:hAnsi="仿宋" w:eastAsia="仿宋" w:cs="仿宋"/>
                <w:color w:val="auto"/>
                <w:szCs w:val="21"/>
                <w:highlight w:val="none"/>
                <w:lang w:eastAsia="zh-CN"/>
              </w:rPr>
              <w:t>。</w:t>
            </w:r>
          </w:p>
          <w:p w14:paraId="5C00191B">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电子邮箱：</w:t>
            </w:r>
            <w:r>
              <w:rPr>
                <w:rFonts w:hint="eastAsia" w:ascii="仿宋" w:hAnsi="仿宋" w:eastAsia="仿宋" w:cs="仿宋"/>
                <w:bCs/>
                <w:color w:val="auto"/>
                <w:szCs w:val="21"/>
                <w:highlight w:val="none"/>
                <w:lang w:val="en-US" w:eastAsia="zh-CN"/>
              </w:rPr>
              <w:t xml:space="preserve">     </w:t>
            </w:r>
          </w:p>
        </w:tc>
      </w:tr>
      <w:tr w14:paraId="5F1A7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2E1D4B65">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3.2</w:t>
            </w:r>
            <w:r>
              <w:rPr>
                <w:rFonts w:hint="eastAsia" w:ascii="仿宋" w:hAnsi="仿宋" w:eastAsia="仿宋" w:cs="仿宋"/>
                <w:color w:val="auto"/>
                <w:szCs w:val="21"/>
                <w:highlight w:val="none"/>
                <w:lang w:val="en-US" w:eastAsia="zh-CN"/>
              </w:rPr>
              <w:t>.1</w:t>
            </w:r>
          </w:p>
        </w:tc>
        <w:tc>
          <w:tcPr>
            <w:tcW w:w="1692" w:type="dxa"/>
            <w:tcBorders>
              <w:top w:val="single" w:color="auto" w:sz="4" w:space="0"/>
              <w:left w:val="single" w:color="auto" w:sz="4" w:space="0"/>
              <w:bottom w:val="single" w:color="auto" w:sz="4" w:space="0"/>
              <w:right w:val="single" w:color="auto" w:sz="4" w:space="0"/>
            </w:tcBorders>
            <w:noWrap/>
            <w:vAlign w:val="center"/>
          </w:tcPr>
          <w:p w14:paraId="6DE785F2">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磋商报价</w:t>
            </w:r>
            <w:r>
              <w:rPr>
                <w:rFonts w:hint="eastAsia" w:ascii="仿宋" w:hAnsi="仿宋" w:eastAsia="仿宋" w:cs="仿宋"/>
                <w:color w:val="auto"/>
                <w:szCs w:val="21"/>
                <w:highlight w:val="none"/>
                <w:lang w:val="en-US" w:eastAsia="zh-CN"/>
              </w:rPr>
              <w:t>方式</w:t>
            </w:r>
          </w:p>
        </w:tc>
        <w:tc>
          <w:tcPr>
            <w:tcW w:w="7800" w:type="dxa"/>
            <w:tcBorders>
              <w:top w:val="single" w:color="auto" w:sz="4" w:space="0"/>
              <w:left w:val="single" w:color="auto" w:sz="4" w:space="0"/>
              <w:bottom w:val="single" w:color="auto" w:sz="4" w:space="0"/>
              <w:right w:val="single" w:color="auto" w:sz="4" w:space="0"/>
            </w:tcBorders>
            <w:noWrap/>
            <w:vAlign w:val="center"/>
          </w:tcPr>
          <w:p w14:paraId="0D3F7B49">
            <w:pP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磋商报价为下浮率报价，</w:t>
            </w:r>
            <w:r>
              <w:rPr>
                <w:rFonts w:hint="eastAsia" w:ascii="仿宋" w:hAnsi="仿宋" w:eastAsia="仿宋" w:cs="仿宋"/>
                <w:color w:val="auto"/>
                <w:szCs w:val="21"/>
                <w:highlight w:val="none"/>
              </w:rPr>
              <w:t>供应商应结合市场行情及自身实力进行磋商报价。</w:t>
            </w:r>
          </w:p>
        </w:tc>
      </w:tr>
      <w:tr w14:paraId="4F35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32805DC6">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3.2.2</w:t>
            </w:r>
          </w:p>
        </w:tc>
        <w:tc>
          <w:tcPr>
            <w:tcW w:w="1692" w:type="dxa"/>
            <w:tcBorders>
              <w:top w:val="single" w:color="auto" w:sz="4" w:space="0"/>
              <w:left w:val="single" w:color="auto" w:sz="4" w:space="0"/>
              <w:bottom w:val="single" w:color="auto" w:sz="4" w:space="0"/>
              <w:right w:val="single" w:color="auto" w:sz="4" w:space="0"/>
            </w:tcBorders>
            <w:noWrap/>
            <w:vAlign w:val="center"/>
          </w:tcPr>
          <w:p w14:paraId="1AB02D62">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最高</w:t>
            </w:r>
            <w:r>
              <w:rPr>
                <w:rFonts w:hint="eastAsia" w:ascii="仿宋" w:hAnsi="仿宋" w:eastAsia="仿宋" w:cs="仿宋"/>
                <w:color w:val="auto"/>
                <w:szCs w:val="21"/>
                <w:highlight w:val="none"/>
                <w:lang w:val="en-US" w:eastAsia="zh-CN"/>
              </w:rPr>
              <w:t>磋商</w:t>
            </w:r>
            <w:r>
              <w:rPr>
                <w:rFonts w:hint="eastAsia" w:ascii="仿宋" w:hAnsi="仿宋" w:eastAsia="仿宋" w:cs="仿宋"/>
                <w:color w:val="auto"/>
                <w:szCs w:val="21"/>
                <w:highlight w:val="none"/>
              </w:rPr>
              <w:t>限价</w:t>
            </w:r>
          </w:p>
        </w:tc>
        <w:tc>
          <w:tcPr>
            <w:tcW w:w="7800" w:type="dxa"/>
            <w:tcBorders>
              <w:top w:val="single" w:color="auto" w:sz="4" w:space="0"/>
              <w:left w:val="single" w:color="auto" w:sz="4" w:space="0"/>
              <w:bottom w:val="single" w:color="auto" w:sz="4" w:space="0"/>
              <w:right w:val="single" w:color="auto" w:sz="4" w:space="0"/>
            </w:tcBorders>
            <w:noWrap/>
            <w:vAlign w:val="center"/>
          </w:tcPr>
          <w:p w14:paraId="5450E7F7">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招标代理服务收费标准参照《云南省建设工程招标投标行业协会关于印发《云南省建设工程招标代理服务收费参考意见》的通知云建招协〔2024】58号》收费标准进行下浮率报价，下浮率≥1%（供应商报价应为正整数报价，如1%、2%、3%.....10%等）。</w:t>
            </w:r>
          </w:p>
        </w:tc>
      </w:tr>
      <w:tr w14:paraId="4E7A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385605D8">
            <w:pPr>
              <w:rPr>
                <w:rFonts w:ascii="仿宋" w:hAnsi="仿宋" w:eastAsia="仿宋" w:cs="仿宋"/>
                <w:color w:val="auto"/>
                <w:szCs w:val="21"/>
                <w:highlight w:val="none"/>
              </w:rPr>
            </w:pPr>
            <w:r>
              <w:rPr>
                <w:rFonts w:hint="eastAsia" w:ascii="仿宋" w:hAnsi="仿宋" w:eastAsia="仿宋" w:cs="仿宋"/>
                <w:color w:val="auto"/>
                <w:szCs w:val="21"/>
                <w:highlight w:val="none"/>
              </w:rPr>
              <w:t>3.3.1</w:t>
            </w:r>
          </w:p>
        </w:tc>
        <w:tc>
          <w:tcPr>
            <w:tcW w:w="1692" w:type="dxa"/>
            <w:tcBorders>
              <w:top w:val="single" w:color="auto" w:sz="4" w:space="0"/>
              <w:left w:val="single" w:color="auto" w:sz="4" w:space="0"/>
              <w:bottom w:val="single" w:color="auto" w:sz="4" w:space="0"/>
              <w:right w:val="single" w:color="auto" w:sz="4" w:space="0"/>
            </w:tcBorders>
            <w:noWrap/>
            <w:vAlign w:val="center"/>
          </w:tcPr>
          <w:p w14:paraId="06A9ED27">
            <w:pPr>
              <w:rPr>
                <w:rFonts w:ascii="仿宋" w:hAnsi="仿宋" w:eastAsia="仿宋" w:cs="仿宋"/>
                <w:color w:val="auto"/>
                <w:szCs w:val="21"/>
                <w:highlight w:val="none"/>
              </w:rPr>
            </w:pPr>
            <w:r>
              <w:rPr>
                <w:rFonts w:hint="eastAsia" w:ascii="仿宋" w:hAnsi="仿宋" w:eastAsia="仿宋" w:cs="仿宋"/>
                <w:color w:val="auto"/>
                <w:szCs w:val="21"/>
                <w:highlight w:val="none"/>
              </w:rPr>
              <w:t>磋商有效期</w:t>
            </w:r>
          </w:p>
        </w:tc>
        <w:tc>
          <w:tcPr>
            <w:tcW w:w="7800" w:type="dxa"/>
            <w:tcBorders>
              <w:top w:val="single" w:color="auto" w:sz="4" w:space="0"/>
              <w:left w:val="single" w:color="auto" w:sz="4" w:space="0"/>
              <w:bottom w:val="single" w:color="auto" w:sz="4" w:space="0"/>
              <w:right w:val="single" w:color="auto" w:sz="4" w:space="0"/>
            </w:tcBorders>
            <w:noWrap/>
            <w:vAlign w:val="center"/>
          </w:tcPr>
          <w:p w14:paraId="5ED4C27E">
            <w:pPr>
              <w:rPr>
                <w:rFonts w:ascii="仿宋" w:hAnsi="仿宋" w:eastAsia="仿宋" w:cs="仿宋"/>
                <w:color w:val="auto"/>
                <w:szCs w:val="21"/>
                <w:highlight w:val="none"/>
              </w:rPr>
            </w:pPr>
            <w:r>
              <w:rPr>
                <w:rFonts w:hint="eastAsia" w:ascii="仿宋" w:hAnsi="仿宋" w:eastAsia="仿宋" w:cs="仿宋"/>
                <w:color w:val="auto"/>
                <w:szCs w:val="21"/>
                <w:highlight w:val="none"/>
              </w:rPr>
              <w:t>90日历天，从磋商截止之日算起。</w:t>
            </w:r>
          </w:p>
        </w:tc>
      </w:tr>
      <w:tr w14:paraId="668A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2FD29793">
            <w:pPr>
              <w:rPr>
                <w:rFonts w:ascii="仿宋" w:hAnsi="仿宋" w:eastAsia="仿宋" w:cs="仿宋"/>
                <w:color w:val="auto"/>
                <w:szCs w:val="21"/>
                <w:highlight w:val="none"/>
              </w:rPr>
            </w:pPr>
            <w:r>
              <w:rPr>
                <w:rFonts w:hint="eastAsia" w:ascii="仿宋" w:hAnsi="仿宋" w:eastAsia="仿宋" w:cs="仿宋"/>
                <w:color w:val="auto"/>
                <w:szCs w:val="21"/>
                <w:highlight w:val="none"/>
              </w:rPr>
              <w:t>3.4.1</w:t>
            </w:r>
          </w:p>
        </w:tc>
        <w:tc>
          <w:tcPr>
            <w:tcW w:w="1692" w:type="dxa"/>
            <w:tcBorders>
              <w:top w:val="single" w:color="auto" w:sz="4" w:space="0"/>
              <w:left w:val="single" w:color="auto" w:sz="4" w:space="0"/>
              <w:bottom w:val="single" w:color="auto" w:sz="4" w:space="0"/>
              <w:right w:val="single" w:color="auto" w:sz="4" w:space="0"/>
            </w:tcBorders>
            <w:noWrap/>
            <w:vAlign w:val="center"/>
          </w:tcPr>
          <w:p w14:paraId="08F5EEF2">
            <w:pPr>
              <w:rPr>
                <w:rFonts w:ascii="仿宋" w:hAnsi="仿宋" w:eastAsia="仿宋" w:cs="仿宋"/>
                <w:color w:val="auto"/>
                <w:szCs w:val="21"/>
                <w:highlight w:val="none"/>
              </w:rPr>
            </w:pPr>
            <w:r>
              <w:rPr>
                <w:rFonts w:hint="eastAsia" w:ascii="仿宋" w:hAnsi="仿宋" w:eastAsia="仿宋" w:cs="仿宋"/>
                <w:color w:val="auto"/>
                <w:szCs w:val="21"/>
                <w:highlight w:val="none"/>
              </w:rPr>
              <w:t>磋商保证金</w:t>
            </w:r>
          </w:p>
        </w:tc>
        <w:tc>
          <w:tcPr>
            <w:tcW w:w="7800" w:type="dxa"/>
            <w:tcBorders>
              <w:top w:val="single" w:color="auto" w:sz="4" w:space="0"/>
              <w:left w:val="single" w:color="auto" w:sz="4" w:space="0"/>
              <w:bottom w:val="single" w:color="auto" w:sz="4" w:space="0"/>
              <w:right w:val="single" w:color="auto" w:sz="4" w:space="0"/>
            </w:tcBorders>
            <w:noWrap/>
            <w:vAlign w:val="center"/>
          </w:tcPr>
          <w:p w14:paraId="19953FD3">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不要求</w:t>
            </w:r>
            <w:r>
              <w:rPr>
                <w:rFonts w:hint="eastAsia" w:ascii="仿宋" w:hAnsi="仿宋" w:eastAsia="仿宋" w:cs="仿宋"/>
                <w:color w:val="auto"/>
                <w:szCs w:val="21"/>
                <w:highlight w:val="none"/>
                <w:lang w:eastAsia="zh-CN"/>
              </w:rPr>
              <w:t>。</w:t>
            </w:r>
          </w:p>
        </w:tc>
      </w:tr>
      <w:tr w14:paraId="1F29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056038BE">
            <w:pPr>
              <w:rPr>
                <w:rFonts w:ascii="仿宋" w:hAnsi="仿宋" w:eastAsia="仿宋" w:cs="仿宋"/>
                <w:color w:val="auto"/>
                <w:szCs w:val="21"/>
                <w:highlight w:val="none"/>
              </w:rPr>
            </w:pPr>
            <w:r>
              <w:rPr>
                <w:rFonts w:hint="eastAsia" w:ascii="仿宋" w:hAnsi="仿宋" w:eastAsia="仿宋" w:cs="仿宋"/>
                <w:color w:val="auto"/>
                <w:szCs w:val="21"/>
                <w:highlight w:val="none"/>
              </w:rPr>
              <w:t>3.5.2</w:t>
            </w:r>
          </w:p>
        </w:tc>
        <w:tc>
          <w:tcPr>
            <w:tcW w:w="1692" w:type="dxa"/>
            <w:tcBorders>
              <w:top w:val="single" w:color="auto" w:sz="4" w:space="0"/>
              <w:left w:val="single" w:color="auto" w:sz="4" w:space="0"/>
              <w:bottom w:val="single" w:color="auto" w:sz="4" w:space="0"/>
              <w:right w:val="single" w:color="auto" w:sz="4" w:space="0"/>
            </w:tcBorders>
            <w:noWrap/>
            <w:vAlign w:val="center"/>
          </w:tcPr>
          <w:p w14:paraId="1CA7997B">
            <w:pPr>
              <w:rPr>
                <w:rFonts w:ascii="仿宋" w:hAnsi="仿宋" w:eastAsia="仿宋" w:cs="仿宋"/>
                <w:color w:val="auto"/>
                <w:szCs w:val="21"/>
                <w:highlight w:val="none"/>
              </w:rPr>
            </w:pPr>
            <w:r>
              <w:rPr>
                <w:rFonts w:hint="eastAsia" w:ascii="仿宋" w:hAnsi="仿宋" w:eastAsia="仿宋" w:cs="仿宋"/>
                <w:color w:val="auto"/>
                <w:szCs w:val="21"/>
                <w:highlight w:val="none"/>
              </w:rPr>
              <w:t>完成类似</w:t>
            </w:r>
            <w:r>
              <w:rPr>
                <w:rFonts w:hint="eastAsia" w:ascii="仿宋" w:hAnsi="仿宋" w:eastAsia="仿宋" w:cs="仿宋"/>
                <w:color w:val="auto"/>
                <w:szCs w:val="21"/>
                <w:highlight w:val="none"/>
                <w:lang w:val="en-US" w:eastAsia="zh-CN"/>
              </w:rPr>
              <w:t>业绩</w:t>
            </w:r>
            <w:r>
              <w:rPr>
                <w:rFonts w:hint="eastAsia" w:ascii="仿宋" w:hAnsi="仿宋" w:eastAsia="仿宋" w:cs="仿宋"/>
                <w:color w:val="auto"/>
                <w:szCs w:val="21"/>
                <w:highlight w:val="none"/>
              </w:rPr>
              <w:t>的要求</w:t>
            </w:r>
          </w:p>
        </w:tc>
        <w:tc>
          <w:tcPr>
            <w:tcW w:w="7800" w:type="dxa"/>
            <w:tcBorders>
              <w:top w:val="single" w:color="auto" w:sz="4" w:space="0"/>
              <w:left w:val="single" w:color="auto" w:sz="4" w:space="0"/>
              <w:bottom w:val="single" w:color="auto" w:sz="4" w:space="0"/>
              <w:right w:val="single" w:color="auto" w:sz="4" w:space="0"/>
            </w:tcBorders>
            <w:noWrap/>
            <w:vAlign w:val="center"/>
          </w:tcPr>
          <w:p w14:paraId="245A4D14">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2022年1月1日至磋商截止时间止（核定以合同签订时间为准）</w:t>
            </w:r>
          </w:p>
          <w:p w14:paraId="4B0D2A56">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类似业绩是指：</w:t>
            </w:r>
            <w:r>
              <w:rPr>
                <w:rFonts w:hint="eastAsia" w:ascii="仿宋" w:hAnsi="仿宋" w:eastAsia="仿宋" w:cs="仿宋"/>
                <w:color w:val="auto"/>
                <w:szCs w:val="21"/>
                <w:highlight w:val="none"/>
                <w:lang w:val="en-US" w:eastAsia="zh-CN"/>
              </w:rPr>
              <w:t>招标代理服务</w:t>
            </w:r>
            <w:r>
              <w:rPr>
                <w:rFonts w:hint="eastAsia" w:ascii="仿宋" w:hAnsi="仿宋" w:eastAsia="仿宋" w:cs="仿宋"/>
                <w:color w:val="auto"/>
                <w:szCs w:val="21"/>
                <w:highlight w:val="none"/>
              </w:rPr>
              <w:t>类业绩。</w:t>
            </w:r>
          </w:p>
        </w:tc>
      </w:tr>
      <w:tr w14:paraId="65C40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3FD74D43">
            <w:pPr>
              <w:rPr>
                <w:rFonts w:ascii="仿宋" w:hAnsi="仿宋" w:eastAsia="仿宋" w:cs="仿宋"/>
                <w:color w:val="auto"/>
                <w:szCs w:val="21"/>
                <w:highlight w:val="none"/>
              </w:rPr>
            </w:pPr>
            <w:r>
              <w:rPr>
                <w:rFonts w:hint="eastAsia" w:ascii="仿宋" w:hAnsi="仿宋" w:eastAsia="仿宋" w:cs="仿宋"/>
                <w:color w:val="auto"/>
                <w:szCs w:val="21"/>
                <w:highlight w:val="none"/>
              </w:rPr>
              <w:t>3.6</w:t>
            </w:r>
          </w:p>
        </w:tc>
        <w:tc>
          <w:tcPr>
            <w:tcW w:w="1692" w:type="dxa"/>
            <w:tcBorders>
              <w:top w:val="single" w:color="auto" w:sz="4" w:space="0"/>
              <w:left w:val="single" w:color="auto" w:sz="4" w:space="0"/>
              <w:bottom w:val="single" w:color="auto" w:sz="4" w:space="0"/>
              <w:right w:val="single" w:color="auto" w:sz="4" w:space="0"/>
            </w:tcBorders>
            <w:noWrap/>
            <w:vAlign w:val="center"/>
          </w:tcPr>
          <w:p w14:paraId="2275CDA5">
            <w:pPr>
              <w:rPr>
                <w:rFonts w:ascii="仿宋" w:hAnsi="仿宋" w:eastAsia="仿宋" w:cs="仿宋"/>
                <w:color w:val="auto"/>
                <w:szCs w:val="21"/>
                <w:highlight w:val="none"/>
              </w:rPr>
            </w:pPr>
            <w:r>
              <w:rPr>
                <w:rFonts w:hint="eastAsia" w:ascii="仿宋" w:hAnsi="仿宋" w:eastAsia="仿宋" w:cs="仿宋"/>
                <w:color w:val="auto"/>
                <w:szCs w:val="21"/>
                <w:highlight w:val="none"/>
              </w:rPr>
              <w:t>是否允许递交备选磋商方案</w:t>
            </w:r>
          </w:p>
        </w:tc>
        <w:tc>
          <w:tcPr>
            <w:tcW w:w="7800" w:type="dxa"/>
            <w:tcBorders>
              <w:top w:val="single" w:color="auto" w:sz="4" w:space="0"/>
              <w:left w:val="single" w:color="auto" w:sz="4" w:space="0"/>
              <w:bottom w:val="single" w:color="auto" w:sz="4" w:space="0"/>
              <w:right w:val="single" w:color="auto" w:sz="4" w:space="0"/>
            </w:tcBorders>
            <w:noWrap/>
            <w:vAlign w:val="center"/>
          </w:tcPr>
          <w:p w14:paraId="30771C6F">
            <w:pPr>
              <w:rPr>
                <w:rFonts w:ascii="仿宋" w:hAnsi="仿宋" w:eastAsia="仿宋" w:cs="仿宋"/>
                <w:color w:val="auto"/>
                <w:szCs w:val="21"/>
                <w:highlight w:val="none"/>
              </w:rPr>
            </w:pPr>
            <w:r>
              <w:rPr>
                <w:rFonts w:hint="eastAsia" w:ascii="仿宋" w:hAnsi="仿宋" w:eastAsia="仿宋" w:cs="仿宋"/>
                <w:color w:val="auto"/>
                <w:szCs w:val="21"/>
                <w:highlight w:val="none"/>
              </w:rPr>
              <w:t>不允许</w:t>
            </w:r>
          </w:p>
        </w:tc>
      </w:tr>
      <w:tr w14:paraId="0855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3CFE7E89">
            <w:pPr>
              <w:rPr>
                <w:rFonts w:ascii="仿宋" w:hAnsi="仿宋" w:eastAsia="仿宋" w:cs="仿宋"/>
                <w:color w:val="auto"/>
                <w:szCs w:val="21"/>
                <w:highlight w:val="none"/>
              </w:rPr>
            </w:pPr>
            <w:r>
              <w:rPr>
                <w:rFonts w:hint="eastAsia" w:ascii="仿宋" w:hAnsi="仿宋" w:eastAsia="仿宋" w:cs="仿宋"/>
                <w:color w:val="auto"/>
                <w:szCs w:val="21"/>
                <w:highlight w:val="none"/>
              </w:rPr>
              <w:t>3.7.3</w:t>
            </w:r>
          </w:p>
        </w:tc>
        <w:tc>
          <w:tcPr>
            <w:tcW w:w="1692" w:type="dxa"/>
            <w:tcBorders>
              <w:top w:val="single" w:color="auto" w:sz="4" w:space="0"/>
              <w:left w:val="single" w:color="auto" w:sz="4" w:space="0"/>
              <w:bottom w:val="single" w:color="auto" w:sz="4" w:space="0"/>
              <w:right w:val="single" w:color="auto" w:sz="4" w:space="0"/>
            </w:tcBorders>
            <w:noWrap/>
            <w:vAlign w:val="center"/>
          </w:tcPr>
          <w:p w14:paraId="442DEF52">
            <w:pPr>
              <w:rPr>
                <w:rFonts w:ascii="仿宋" w:hAnsi="仿宋" w:eastAsia="仿宋" w:cs="仿宋"/>
                <w:color w:val="auto"/>
                <w:szCs w:val="21"/>
                <w:highlight w:val="none"/>
              </w:rPr>
            </w:pPr>
            <w:r>
              <w:rPr>
                <w:rFonts w:hint="eastAsia" w:ascii="仿宋" w:hAnsi="仿宋" w:eastAsia="仿宋" w:cs="仿宋"/>
                <w:color w:val="auto"/>
                <w:szCs w:val="21"/>
                <w:highlight w:val="none"/>
              </w:rPr>
              <w:t>签字或盖章要求</w:t>
            </w:r>
          </w:p>
        </w:tc>
        <w:tc>
          <w:tcPr>
            <w:tcW w:w="7800" w:type="dxa"/>
            <w:tcBorders>
              <w:top w:val="single" w:color="auto" w:sz="4" w:space="0"/>
              <w:left w:val="single" w:color="auto" w:sz="4" w:space="0"/>
              <w:bottom w:val="single" w:color="auto" w:sz="4" w:space="0"/>
              <w:right w:val="single" w:color="auto" w:sz="4" w:space="0"/>
            </w:tcBorders>
            <w:noWrap/>
            <w:vAlign w:val="center"/>
          </w:tcPr>
          <w:p w14:paraId="130072D7">
            <w:pPr>
              <w:rPr>
                <w:rFonts w:ascii="仿宋" w:hAnsi="仿宋" w:eastAsia="仿宋" w:cs="仿宋"/>
                <w:color w:val="auto"/>
                <w:szCs w:val="21"/>
                <w:highlight w:val="none"/>
              </w:rPr>
            </w:pPr>
            <w:r>
              <w:rPr>
                <w:rFonts w:hint="eastAsia" w:ascii="仿宋" w:hAnsi="仿宋" w:eastAsia="仿宋" w:cs="仿宋"/>
                <w:color w:val="auto"/>
                <w:szCs w:val="21"/>
                <w:highlight w:val="none"/>
              </w:rPr>
              <w:t>1、响应文件应由供应商的法定代表人或其委托代理人签字或盖章。没有签字或盖章的响应文件将被拒绝；由委托代理人签字或盖章的，响应文件中应附有法定代表人的授权委托书。</w:t>
            </w:r>
          </w:p>
          <w:p w14:paraId="6DF8E481">
            <w:pPr>
              <w:rPr>
                <w:rFonts w:ascii="仿宋" w:hAnsi="仿宋" w:eastAsia="仿宋" w:cs="仿宋"/>
                <w:color w:val="auto"/>
                <w:szCs w:val="21"/>
                <w:highlight w:val="none"/>
              </w:rPr>
            </w:pPr>
            <w:r>
              <w:rPr>
                <w:rFonts w:hint="eastAsia" w:ascii="仿宋" w:hAnsi="仿宋" w:eastAsia="仿宋" w:cs="仿宋"/>
                <w:color w:val="auto"/>
                <w:szCs w:val="21"/>
                <w:highlight w:val="none"/>
              </w:rPr>
              <w:t>2、按响应文件格式的要求签字、盖章。</w:t>
            </w:r>
          </w:p>
        </w:tc>
      </w:tr>
      <w:tr w14:paraId="04F4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3A9C859A">
            <w:pPr>
              <w:rPr>
                <w:rFonts w:ascii="仿宋" w:hAnsi="仿宋" w:eastAsia="仿宋" w:cs="仿宋"/>
                <w:color w:val="auto"/>
                <w:szCs w:val="21"/>
                <w:highlight w:val="none"/>
              </w:rPr>
            </w:pPr>
            <w:r>
              <w:rPr>
                <w:rFonts w:hint="eastAsia" w:ascii="仿宋" w:hAnsi="仿宋" w:eastAsia="仿宋" w:cs="仿宋"/>
                <w:color w:val="auto"/>
                <w:szCs w:val="21"/>
                <w:highlight w:val="none"/>
              </w:rPr>
              <w:t>3.7.4</w:t>
            </w:r>
          </w:p>
        </w:tc>
        <w:tc>
          <w:tcPr>
            <w:tcW w:w="1692" w:type="dxa"/>
            <w:tcBorders>
              <w:top w:val="single" w:color="auto" w:sz="4" w:space="0"/>
              <w:left w:val="single" w:color="auto" w:sz="4" w:space="0"/>
              <w:bottom w:val="single" w:color="auto" w:sz="4" w:space="0"/>
              <w:right w:val="single" w:color="auto" w:sz="4" w:space="0"/>
            </w:tcBorders>
            <w:noWrap/>
            <w:vAlign w:val="center"/>
          </w:tcPr>
          <w:p w14:paraId="0CF3925D">
            <w:pPr>
              <w:rPr>
                <w:rFonts w:ascii="仿宋" w:hAnsi="仿宋" w:eastAsia="仿宋" w:cs="仿宋"/>
                <w:color w:val="auto"/>
                <w:szCs w:val="21"/>
                <w:highlight w:val="none"/>
              </w:rPr>
            </w:pPr>
            <w:r>
              <w:rPr>
                <w:rFonts w:hint="eastAsia" w:ascii="仿宋" w:hAnsi="仿宋" w:eastAsia="仿宋" w:cs="仿宋"/>
                <w:color w:val="auto"/>
                <w:szCs w:val="21"/>
                <w:highlight w:val="none"/>
              </w:rPr>
              <w:t>响应文件副本份数</w:t>
            </w:r>
          </w:p>
        </w:tc>
        <w:tc>
          <w:tcPr>
            <w:tcW w:w="7800" w:type="dxa"/>
            <w:tcBorders>
              <w:top w:val="single" w:color="auto" w:sz="4" w:space="0"/>
              <w:left w:val="single" w:color="auto" w:sz="4" w:space="0"/>
              <w:bottom w:val="single" w:color="auto" w:sz="4" w:space="0"/>
              <w:right w:val="single" w:color="auto" w:sz="4" w:space="0"/>
            </w:tcBorders>
            <w:noWrap/>
            <w:vAlign w:val="center"/>
          </w:tcPr>
          <w:p w14:paraId="656A17E7">
            <w:pPr>
              <w:rPr>
                <w:rFonts w:ascii="仿宋" w:hAnsi="仿宋" w:eastAsia="仿宋" w:cs="仿宋"/>
                <w:color w:val="auto"/>
                <w:szCs w:val="21"/>
                <w:highlight w:val="none"/>
              </w:rPr>
            </w:pPr>
            <w:r>
              <w:rPr>
                <w:rFonts w:hint="eastAsia" w:ascii="仿宋" w:hAnsi="仿宋" w:eastAsia="仿宋" w:cs="仿宋"/>
                <w:color w:val="auto"/>
                <w:szCs w:val="21"/>
                <w:highlight w:val="none"/>
              </w:rPr>
              <w:t>纸质响应文件：正本壹份，副本贰份；</w:t>
            </w:r>
          </w:p>
          <w:p w14:paraId="110896BF">
            <w:pPr>
              <w:rPr>
                <w:rFonts w:ascii="仿宋" w:hAnsi="仿宋" w:eastAsia="仿宋" w:cs="仿宋"/>
                <w:color w:val="auto"/>
                <w:szCs w:val="21"/>
                <w:highlight w:val="none"/>
              </w:rPr>
            </w:pPr>
            <w:r>
              <w:rPr>
                <w:rFonts w:hint="eastAsia" w:ascii="仿宋" w:hAnsi="仿宋" w:eastAsia="仿宋" w:cs="仿宋"/>
                <w:color w:val="auto"/>
                <w:szCs w:val="21"/>
                <w:highlight w:val="none"/>
              </w:rPr>
              <w:t>电子版响应文件：U盘一个，包含 Word 版和 PDF 版格式（注：电子版文件内容和正本内容一致，PDF版须加盖企业电子章或加盖单位公章，纸质响应文件与电子版文件统一密封）；</w:t>
            </w:r>
          </w:p>
        </w:tc>
      </w:tr>
      <w:tr w14:paraId="1E10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1A328A72">
            <w:pPr>
              <w:rPr>
                <w:rFonts w:ascii="仿宋" w:hAnsi="仿宋" w:eastAsia="仿宋" w:cs="仿宋"/>
                <w:color w:val="auto"/>
                <w:szCs w:val="21"/>
                <w:highlight w:val="none"/>
              </w:rPr>
            </w:pPr>
            <w:r>
              <w:rPr>
                <w:rFonts w:hint="eastAsia" w:ascii="仿宋" w:hAnsi="仿宋" w:eastAsia="仿宋" w:cs="仿宋"/>
                <w:color w:val="auto"/>
                <w:szCs w:val="21"/>
                <w:highlight w:val="none"/>
              </w:rPr>
              <w:t>3.7.5</w:t>
            </w:r>
          </w:p>
        </w:tc>
        <w:tc>
          <w:tcPr>
            <w:tcW w:w="1692" w:type="dxa"/>
            <w:tcBorders>
              <w:top w:val="single" w:color="auto" w:sz="4" w:space="0"/>
              <w:left w:val="single" w:color="auto" w:sz="4" w:space="0"/>
              <w:bottom w:val="single" w:color="auto" w:sz="4" w:space="0"/>
              <w:right w:val="single" w:color="auto" w:sz="4" w:space="0"/>
            </w:tcBorders>
            <w:noWrap/>
            <w:vAlign w:val="center"/>
          </w:tcPr>
          <w:p w14:paraId="4F064816">
            <w:pPr>
              <w:rPr>
                <w:rFonts w:ascii="仿宋" w:hAnsi="仿宋" w:eastAsia="仿宋" w:cs="仿宋"/>
                <w:color w:val="auto"/>
                <w:szCs w:val="21"/>
                <w:highlight w:val="none"/>
              </w:rPr>
            </w:pPr>
            <w:r>
              <w:rPr>
                <w:rFonts w:hint="eastAsia" w:ascii="仿宋" w:hAnsi="仿宋" w:eastAsia="仿宋" w:cs="仿宋"/>
                <w:color w:val="auto"/>
                <w:szCs w:val="21"/>
                <w:highlight w:val="none"/>
              </w:rPr>
              <w:t>装订要求</w:t>
            </w:r>
          </w:p>
        </w:tc>
        <w:tc>
          <w:tcPr>
            <w:tcW w:w="7800" w:type="dxa"/>
            <w:tcBorders>
              <w:top w:val="single" w:color="auto" w:sz="4" w:space="0"/>
              <w:left w:val="single" w:color="auto" w:sz="4" w:space="0"/>
              <w:bottom w:val="single" w:color="auto" w:sz="4" w:space="0"/>
              <w:right w:val="single" w:color="auto" w:sz="4" w:space="0"/>
            </w:tcBorders>
            <w:noWrap/>
            <w:vAlign w:val="center"/>
          </w:tcPr>
          <w:p w14:paraId="514ACE9A">
            <w:pPr>
              <w:rPr>
                <w:rFonts w:ascii="仿宋" w:hAnsi="仿宋" w:eastAsia="仿宋" w:cs="仿宋"/>
                <w:color w:val="auto"/>
                <w:szCs w:val="21"/>
                <w:highlight w:val="none"/>
              </w:rPr>
            </w:pPr>
            <w:r>
              <w:rPr>
                <w:rFonts w:hint="eastAsia" w:ascii="仿宋" w:hAnsi="仿宋" w:eastAsia="仿宋" w:cs="仿宋"/>
                <w:color w:val="auto"/>
                <w:szCs w:val="21"/>
                <w:highlight w:val="none"/>
              </w:rPr>
              <w:t>按照供应商须知第3.1项规定的响应文件组成内容，响应文件装订应牢固、不易拆散和换页，不得采用活页装订，正本、副本分别装订成册，并在封面上标注“正本”、“副本”字样。</w:t>
            </w:r>
          </w:p>
        </w:tc>
      </w:tr>
      <w:tr w14:paraId="2476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26F26C01">
            <w:pPr>
              <w:rPr>
                <w:rFonts w:ascii="仿宋" w:hAnsi="仿宋" w:eastAsia="仿宋" w:cs="仿宋"/>
                <w:color w:val="auto"/>
                <w:szCs w:val="21"/>
                <w:highlight w:val="none"/>
              </w:rPr>
            </w:pPr>
            <w:r>
              <w:rPr>
                <w:rFonts w:hint="eastAsia" w:ascii="仿宋" w:hAnsi="仿宋" w:eastAsia="仿宋" w:cs="仿宋"/>
                <w:color w:val="auto"/>
                <w:szCs w:val="21"/>
                <w:highlight w:val="none"/>
              </w:rPr>
              <w:t>4.1.1</w:t>
            </w:r>
          </w:p>
        </w:tc>
        <w:tc>
          <w:tcPr>
            <w:tcW w:w="1692" w:type="dxa"/>
            <w:tcBorders>
              <w:top w:val="single" w:color="auto" w:sz="4" w:space="0"/>
              <w:left w:val="single" w:color="auto" w:sz="4" w:space="0"/>
              <w:bottom w:val="single" w:color="auto" w:sz="4" w:space="0"/>
              <w:right w:val="single" w:color="auto" w:sz="4" w:space="0"/>
            </w:tcBorders>
            <w:noWrap/>
            <w:vAlign w:val="center"/>
          </w:tcPr>
          <w:p w14:paraId="7DF9CC1B">
            <w:pPr>
              <w:rPr>
                <w:rFonts w:ascii="仿宋" w:hAnsi="仿宋" w:eastAsia="仿宋" w:cs="仿宋"/>
                <w:color w:val="auto"/>
                <w:szCs w:val="21"/>
                <w:highlight w:val="none"/>
              </w:rPr>
            </w:pPr>
            <w:r>
              <w:rPr>
                <w:rFonts w:hint="eastAsia" w:ascii="仿宋" w:hAnsi="仿宋" w:eastAsia="仿宋" w:cs="仿宋"/>
                <w:color w:val="auto"/>
                <w:szCs w:val="21"/>
                <w:highlight w:val="none"/>
              </w:rPr>
              <w:t>封套上写明</w:t>
            </w:r>
          </w:p>
        </w:tc>
        <w:tc>
          <w:tcPr>
            <w:tcW w:w="7800" w:type="dxa"/>
            <w:tcBorders>
              <w:top w:val="single" w:color="auto" w:sz="4" w:space="0"/>
              <w:left w:val="single" w:color="auto" w:sz="4" w:space="0"/>
              <w:bottom w:val="single" w:color="auto" w:sz="4" w:space="0"/>
              <w:right w:val="single" w:color="auto" w:sz="4" w:space="0"/>
            </w:tcBorders>
            <w:noWrap/>
            <w:vAlign w:val="center"/>
          </w:tcPr>
          <w:p w14:paraId="2321B80B">
            <w:pPr>
              <w:rPr>
                <w:rFonts w:ascii="仿宋" w:hAnsi="仿宋" w:eastAsia="仿宋" w:cs="仿宋"/>
                <w:color w:val="auto"/>
                <w:szCs w:val="21"/>
                <w:highlight w:val="none"/>
              </w:rPr>
            </w:pPr>
            <w:r>
              <w:rPr>
                <w:rFonts w:hint="eastAsia" w:ascii="仿宋" w:hAnsi="仿宋" w:eastAsia="仿宋" w:cs="仿宋"/>
                <w:color w:val="auto"/>
                <w:szCs w:val="21"/>
                <w:highlight w:val="none"/>
              </w:rPr>
              <w:t>采购人名称：</w:t>
            </w:r>
          </w:p>
          <w:p w14:paraId="0C2C0A21">
            <w:pP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供应商名称：                        </w:t>
            </w:r>
          </w:p>
          <w:p w14:paraId="26AB976C">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lang w:val="en-US" w:eastAsia="zh-CN"/>
              </w:rPr>
              <w:t xml:space="preserve">       </w:t>
            </w:r>
          </w:p>
          <w:p w14:paraId="44B7AB35">
            <w:pPr>
              <w:rPr>
                <w:rFonts w:ascii="仿宋" w:hAnsi="仿宋" w:eastAsia="仿宋" w:cs="仿宋"/>
                <w:color w:val="auto"/>
                <w:szCs w:val="21"/>
                <w:highlight w:val="none"/>
              </w:rPr>
            </w:pPr>
            <w:r>
              <w:rPr>
                <w:rFonts w:hint="eastAsia" w:ascii="仿宋" w:hAnsi="仿宋" w:eastAsia="仿宋" w:cs="仿宋"/>
                <w:bCs/>
                <w:color w:val="auto"/>
                <w:szCs w:val="21"/>
                <w:highlight w:val="none"/>
              </w:rPr>
              <w:t>2025年0</w:t>
            </w:r>
            <w:r>
              <w:rPr>
                <w:rFonts w:hint="eastAsia" w:ascii="仿宋" w:hAnsi="仿宋" w:eastAsia="仿宋" w:cs="仿宋"/>
                <w:bCs/>
                <w:color w:val="auto"/>
                <w:szCs w:val="21"/>
                <w:highlight w:val="none"/>
                <w:lang w:val="en-US" w:eastAsia="zh-CN"/>
              </w:rPr>
              <w:t>9</w:t>
            </w:r>
            <w:r>
              <w:rPr>
                <w:rFonts w:hint="eastAsia" w:ascii="仿宋" w:hAnsi="仿宋" w:eastAsia="仿宋" w:cs="仿宋"/>
                <w:bCs/>
                <w:color w:val="auto"/>
                <w:szCs w:val="21"/>
                <w:highlight w:val="none"/>
              </w:rPr>
              <w:t>月</w:t>
            </w:r>
            <w:r>
              <w:rPr>
                <w:rFonts w:hint="eastAsia" w:ascii="仿宋" w:hAnsi="仿宋" w:eastAsia="仿宋" w:cs="仿宋"/>
                <w:bCs/>
                <w:color w:val="auto"/>
                <w:szCs w:val="21"/>
                <w:highlight w:val="none"/>
                <w:lang w:val="en-US" w:eastAsia="zh-CN"/>
              </w:rPr>
              <w:t>30</w:t>
            </w:r>
            <w:r>
              <w:rPr>
                <w:rFonts w:hint="eastAsia" w:ascii="仿宋" w:hAnsi="仿宋" w:eastAsia="仿宋" w:cs="仿宋"/>
                <w:bCs/>
                <w:color w:val="auto"/>
                <w:szCs w:val="21"/>
                <w:highlight w:val="none"/>
              </w:rPr>
              <w:t>日14时00分</w:t>
            </w:r>
            <w:r>
              <w:rPr>
                <w:rFonts w:hint="eastAsia" w:ascii="仿宋" w:hAnsi="仿宋" w:eastAsia="仿宋" w:cs="仿宋"/>
                <w:color w:val="auto"/>
                <w:szCs w:val="21"/>
                <w:highlight w:val="none"/>
              </w:rPr>
              <w:t>前不得开启</w:t>
            </w:r>
          </w:p>
        </w:tc>
      </w:tr>
      <w:tr w14:paraId="07FE6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exac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1DD4E2DD">
            <w:pPr>
              <w:rPr>
                <w:rFonts w:ascii="仿宋" w:hAnsi="仿宋" w:eastAsia="仿宋" w:cs="仿宋"/>
                <w:color w:val="auto"/>
                <w:szCs w:val="21"/>
                <w:highlight w:val="none"/>
              </w:rPr>
            </w:pPr>
            <w:r>
              <w:rPr>
                <w:rFonts w:hint="eastAsia" w:ascii="仿宋" w:hAnsi="仿宋" w:eastAsia="仿宋" w:cs="仿宋"/>
                <w:color w:val="auto"/>
                <w:szCs w:val="21"/>
                <w:highlight w:val="none"/>
              </w:rPr>
              <w:t>4.2.1</w:t>
            </w:r>
          </w:p>
        </w:tc>
        <w:tc>
          <w:tcPr>
            <w:tcW w:w="1692" w:type="dxa"/>
            <w:tcBorders>
              <w:top w:val="single" w:color="auto" w:sz="4" w:space="0"/>
              <w:left w:val="single" w:color="auto" w:sz="4" w:space="0"/>
              <w:bottom w:val="single" w:color="auto" w:sz="4" w:space="0"/>
              <w:right w:val="single" w:color="auto" w:sz="4" w:space="0"/>
            </w:tcBorders>
            <w:noWrap/>
            <w:vAlign w:val="center"/>
          </w:tcPr>
          <w:p w14:paraId="63CF83B6">
            <w:pPr>
              <w:rPr>
                <w:rFonts w:ascii="仿宋" w:hAnsi="仿宋" w:eastAsia="仿宋" w:cs="仿宋"/>
                <w:color w:val="auto"/>
                <w:szCs w:val="21"/>
                <w:highlight w:val="none"/>
              </w:rPr>
            </w:pPr>
            <w:r>
              <w:rPr>
                <w:rFonts w:hint="eastAsia" w:ascii="仿宋" w:hAnsi="仿宋" w:eastAsia="仿宋" w:cs="仿宋"/>
                <w:color w:val="auto"/>
                <w:szCs w:val="21"/>
                <w:highlight w:val="none"/>
              </w:rPr>
              <w:t>递交响应文件截止时间及地点</w:t>
            </w:r>
          </w:p>
        </w:tc>
        <w:tc>
          <w:tcPr>
            <w:tcW w:w="7800" w:type="dxa"/>
            <w:tcBorders>
              <w:top w:val="single" w:color="auto" w:sz="4" w:space="0"/>
              <w:left w:val="single" w:color="auto" w:sz="4" w:space="0"/>
              <w:bottom w:val="single" w:color="auto" w:sz="4" w:space="0"/>
              <w:right w:val="single" w:color="auto" w:sz="4" w:space="0"/>
            </w:tcBorders>
            <w:noWrap/>
            <w:vAlign w:val="center"/>
          </w:tcPr>
          <w:p w14:paraId="77C17949">
            <w:pPr>
              <w:pStyle w:val="7"/>
              <w:spacing w:before="0" w:after="0" w:line="240" w:lineRule="exact"/>
              <w:rPr>
                <w:rFonts w:hint="eastAsia" w:ascii="仿宋" w:hAnsi="仿宋" w:eastAsia="仿宋" w:cs="仿宋"/>
                <w:b w:val="0"/>
                <w:bCs/>
                <w:color w:val="auto"/>
                <w:kern w:val="2"/>
                <w:sz w:val="21"/>
                <w:szCs w:val="21"/>
                <w:highlight w:val="none"/>
                <w:lang w:val="en-US" w:eastAsia="zh-CN" w:bidi="ar-SA"/>
              </w:rPr>
            </w:pPr>
          </w:p>
          <w:p w14:paraId="55232918">
            <w:pPr>
              <w:pStyle w:val="7"/>
              <w:spacing w:before="0" w:after="0" w:line="240" w:lineRule="exact"/>
              <w:rPr>
                <w:rFonts w:hint="eastAsia" w:ascii="仿宋" w:hAnsi="仿宋" w:eastAsia="仿宋" w:cs="仿宋"/>
                <w:b w:val="0"/>
                <w:bCs/>
                <w:color w:val="auto"/>
                <w:kern w:val="2"/>
                <w:sz w:val="21"/>
                <w:szCs w:val="21"/>
                <w:highlight w:val="none"/>
                <w:lang w:val="en-US" w:eastAsia="zh-CN" w:bidi="ar-SA"/>
              </w:rPr>
            </w:pPr>
            <w:r>
              <w:rPr>
                <w:rFonts w:hint="eastAsia" w:ascii="仿宋" w:hAnsi="仿宋" w:eastAsia="仿宋" w:cs="仿宋"/>
                <w:b w:val="0"/>
                <w:bCs/>
                <w:color w:val="auto"/>
                <w:kern w:val="2"/>
                <w:sz w:val="21"/>
                <w:szCs w:val="21"/>
                <w:highlight w:val="none"/>
                <w:lang w:val="en-US" w:eastAsia="zh-CN" w:bidi="ar-SA"/>
              </w:rPr>
              <w:t>时间：2025年09月30日14时00分</w:t>
            </w:r>
          </w:p>
          <w:p w14:paraId="3710DF48">
            <w:pPr>
              <w:rPr>
                <w:rFonts w:ascii="仿宋" w:hAnsi="仿宋" w:eastAsia="仿宋" w:cs="仿宋"/>
                <w:color w:val="auto"/>
                <w:szCs w:val="21"/>
                <w:highlight w:val="none"/>
              </w:rPr>
            </w:pPr>
            <w:r>
              <w:rPr>
                <w:rFonts w:hint="eastAsia" w:ascii="仿宋" w:hAnsi="仿宋" w:eastAsia="仿宋" w:cs="仿宋"/>
                <w:color w:val="auto"/>
                <w:szCs w:val="21"/>
                <w:highlight w:val="none"/>
              </w:rPr>
              <w:t>地点：</w:t>
            </w:r>
            <w:r>
              <w:rPr>
                <w:rFonts w:hint="eastAsia" w:ascii="仿宋" w:hAnsi="仿宋" w:eastAsia="仿宋" w:cs="仿宋"/>
                <w:bCs/>
                <w:color w:val="auto"/>
                <w:szCs w:val="21"/>
                <w:highlight w:val="none"/>
                <w:lang w:val="en-US" w:eastAsia="zh-CN"/>
              </w:rPr>
              <w:t>昆</w:t>
            </w:r>
            <w:r>
              <w:rPr>
                <w:rFonts w:hint="eastAsia" w:ascii="仿宋" w:hAnsi="仿宋" w:eastAsia="仿宋" w:cs="仿宋"/>
                <w:bCs/>
                <w:color w:val="auto"/>
                <w:szCs w:val="21"/>
                <w:highlight w:val="none"/>
              </w:rPr>
              <w:t>明市官渡区人民政府长水街道办事处（昆明市官渡区滇中保障房宝河家园（C3地块）11栋）</w:t>
            </w:r>
            <w:r>
              <w:rPr>
                <w:rFonts w:hint="eastAsia" w:ascii="仿宋" w:hAnsi="仿宋" w:eastAsia="仿宋" w:cs="仿宋"/>
                <w:bCs/>
                <w:color w:val="auto"/>
                <w:szCs w:val="21"/>
                <w:highlight w:val="none"/>
                <w:lang w:val="en-US" w:eastAsia="zh-CN"/>
              </w:rPr>
              <w:t>223号会议室</w:t>
            </w:r>
            <w:r>
              <w:rPr>
                <w:rFonts w:hint="eastAsia" w:ascii="仿宋" w:hAnsi="仿宋" w:eastAsia="仿宋" w:cs="仿宋"/>
                <w:bCs/>
                <w:color w:val="auto"/>
                <w:szCs w:val="21"/>
                <w:highlight w:val="none"/>
              </w:rPr>
              <w:t>。</w:t>
            </w:r>
          </w:p>
          <w:p w14:paraId="548C06ED">
            <w:pPr>
              <w:spacing w:beforeLines="0" w:afterLines="0" w:line="240" w:lineRule="exact"/>
              <w:rPr>
                <w:rFonts w:ascii="仿宋" w:hAnsi="仿宋" w:eastAsia="仿宋" w:cs="仿宋"/>
                <w:color w:val="auto"/>
                <w:szCs w:val="21"/>
                <w:highlight w:val="none"/>
              </w:rPr>
            </w:pPr>
          </w:p>
        </w:tc>
      </w:tr>
      <w:tr w14:paraId="6BE6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0C61793D">
            <w:pP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4.2.</w:t>
            </w:r>
            <w:r>
              <w:rPr>
                <w:rFonts w:hint="eastAsia" w:ascii="仿宋" w:hAnsi="仿宋" w:eastAsia="仿宋" w:cs="仿宋"/>
                <w:color w:val="auto"/>
                <w:szCs w:val="21"/>
                <w:highlight w:val="none"/>
                <w:lang w:val="en-US" w:eastAsia="zh-CN"/>
              </w:rPr>
              <w:t>2</w:t>
            </w:r>
          </w:p>
        </w:tc>
        <w:tc>
          <w:tcPr>
            <w:tcW w:w="1692" w:type="dxa"/>
            <w:tcBorders>
              <w:top w:val="single" w:color="auto" w:sz="4" w:space="0"/>
              <w:left w:val="single" w:color="auto" w:sz="4" w:space="0"/>
              <w:bottom w:val="single" w:color="auto" w:sz="4" w:space="0"/>
              <w:right w:val="single" w:color="auto" w:sz="4" w:space="0"/>
            </w:tcBorders>
            <w:noWrap/>
            <w:vAlign w:val="center"/>
          </w:tcPr>
          <w:p w14:paraId="41820921">
            <w:pPr>
              <w:rPr>
                <w:rFonts w:ascii="仿宋" w:hAnsi="仿宋" w:eastAsia="仿宋" w:cs="仿宋"/>
                <w:color w:val="auto"/>
                <w:szCs w:val="21"/>
                <w:highlight w:val="none"/>
              </w:rPr>
            </w:pPr>
            <w:r>
              <w:rPr>
                <w:rFonts w:hint="eastAsia" w:ascii="仿宋" w:hAnsi="仿宋" w:eastAsia="仿宋" w:cs="仿宋"/>
                <w:color w:val="auto"/>
                <w:szCs w:val="21"/>
                <w:highlight w:val="none"/>
              </w:rPr>
              <w:t>是否退还响应文件</w:t>
            </w:r>
          </w:p>
        </w:tc>
        <w:tc>
          <w:tcPr>
            <w:tcW w:w="7800" w:type="dxa"/>
            <w:tcBorders>
              <w:top w:val="single" w:color="auto" w:sz="4" w:space="0"/>
              <w:left w:val="single" w:color="auto" w:sz="4" w:space="0"/>
              <w:bottom w:val="single" w:color="auto" w:sz="4" w:space="0"/>
              <w:right w:val="single" w:color="auto" w:sz="4" w:space="0"/>
            </w:tcBorders>
            <w:noWrap/>
            <w:vAlign w:val="center"/>
          </w:tcPr>
          <w:p w14:paraId="2F0384EB">
            <w:pPr>
              <w:rPr>
                <w:rFonts w:ascii="仿宋" w:hAnsi="仿宋" w:eastAsia="仿宋" w:cs="仿宋"/>
                <w:color w:val="auto"/>
                <w:szCs w:val="21"/>
                <w:highlight w:val="none"/>
              </w:rPr>
            </w:pPr>
            <w:r>
              <w:rPr>
                <w:rFonts w:hint="eastAsia" w:ascii="仿宋" w:hAnsi="仿宋" w:eastAsia="仿宋" w:cs="仿宋"/>
                <w:color w:val="auto"/>
                <w:szCs w:val="21"/>
                <w:highlight w:val="none"/>
              </w:rPr>
              <w:t>否</w:t>
            </w:r>
          </w:p>
        </w:tc>
      </w:tr>
      <w:tr w14:paraId="1CCA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46F5DDA7">
            <w:pPr>
              <w:rPr>
                <w:rFonts w:ascii="仿宋" w:hAnsi="仿宋" w:eastAsia="仿宋" w:cs="仿宋"/>
                <w:color w:val="auto"/>
                <w:szCs w:val="21"/>
                <w:highlight w:val="none"/>
              </w:rPr>
            </w:pPr>
            <w:r>
              <w:rPr>
                <w:rFonts w:hint="eastAsia" w:ascii="仿宋" w:hAnsi="仿宋" w:eastAsia="仿宋" w:cs="仿宋"/>
                <w:color w:val="auto"/>
                <w:szCs w:val="21"/>
                <w:highlight w:val="none"/>
              </w:rPr>
              <w:t>5.1</w:t>
            </w:r>
          </w:p>
        </w:tc>
        <w:tc>
          <w:tcPr>
            <w:tcW w:w="1692" w:type="dxa"/>
            <w:tcBorders>
              <w:top w:val="single" w:color="auto" w:sz="4" w:space="0"/>
              <w:left w:val="single" w:color="auto" w:sz="4" w:space="0"/>
              <w:bottom w:val="single" w:color="auto" w:sz="4" w:space="0"/>
              <w:right w:val="single" w:color="auto" w:sz="4" w:space="0"/>
            </w:tcBorders>
            <w:noWrap/>
            <w:vAlign w:val="center"/>
          </w:tcPr>
          <w:p w14:paraId="511EFC42">
            <w:pPr>
              <w:rPr>
                <w:rFonts w:ascii="仿宋" w:hAnsi="仿宋" w:eastAsia="仿宋" w:cs="仿宋"/>
                <w:color w:val="auto"/>
                <w:szCs w:val="21"/>
                <w:highlight w:val="none"/>
              </w:rPr>
            </w:pPr>
            <w:r>
              <w:rPr>
                <w:rFonts w:hint="eastAsia" w:ascii="仿宋" w:hAnsi="仿宋" w:eastAsia="仿宋" w:cs="仿宋"/>
                <w:color w:val="auto"/>
                <w:szCs w:val="21"/>
                <w:highlight w:val="none"/>
              </w:rPr>
              <w:t>磋商时间和地点</w:t>
            </w:r>
          </w:p>
        </w:tc>
        <w:tc>
          <w:tcPr>
            <w:tcW w:w="7800" w:type="dxa"/>
            <w:tcBorders>
              <w:top w:val="single" w:color="auto" w:sz="4" w:space="0"/>
              <w:left w:val="single" w:color="auto" w:sz="4" w:space="0"/>
              <w:bottom w:val="single" w:color="auto" w:sz="4" w:space="0"/>
              <w:right w:val="single" w:color="auto" w:sz="4" w:space="0"/>
            </w:tcBorders>
            <w:noWrap/>
            <w:vAlign w:val="center"/>
          </w:tcPr>
          <w:p w14:paraId="0B502C3C">
            <w:pPr>
              <w:rPr>
                <w:rFonts w:ascii="仿宋" w:hAnsi="仿宋" w:eastAsia="仿宋" w:cs="仿宋"/>
                <w:color w:val="auto"/>
                <w:szCs w:val="21"/>
                <w:highlight w:val="none"/>
              </w:rPr>
            </w:pPr>
            <w:r>
              <w:rPr>
                <w:rFonts w:hint="eastAsia" w:ascii="仿宋" w:hAnsi="仿宋" w:eastAsia="仿宋" w:cs="仿宋"/>
                <w:color w:val="auto"/>
                <w:szCs w:val="21"/>
                <w:highlight w:val="none"/>
              </w:rPr>
              <w:t>磋商时间：同递交响应文件截止时间</w:t>
            </w:r>
          </w:p>
          <w:p w14:paraId="526294E4">
            <w:pPr>
              <w:rPr>
                <w:rFonts w:ascii="仿宋" w:hAnsi="仿宋" w:eastAsia="仿宋" w:cs="仿宋"/>
                <w:color w:val="auto"/>
                <w:szCs w:val="21"/>
                <w:highlight w:val="none"/>
              </w:rPr>
            </w:pPr>
            <w:r>
              <w:rPr>
                <w:rFonts w:hint="eastAsia" w:ascii="仿宋" w:hAnsi="仿宋" w:eastAsia="仿宋" w:cs="仿宋"/>
                <w:color w:val="auto"/>
                <w:szCs w:val="21"/>
                <w:highlight w:val="none"/>
              </w:rPr>
              <w:t>磋商地点：</w:t>
            </w:r>
            <w:r>
              <w:rPr>
                <w:rFonts w:hint="eastAsia" w:ascii="仿宋" w:hAnsi="仿宋" w:eastAsia="仿宋" w:cs="仿宋"/>
                <w:bCs/>
                <w:color w:val="auto"/>
                <w:szCs w:val="21"/>
                <w:highlight w:val="none"/>
                <w:lang w:val="en-US" w:eastAsia="zh-CN"/>
              </w:rPr>
              <w:t>昆</w:t>
            </w:r>
            <w:r>
              <w:rPr>
                <w:rFonts w:hint="eastAsia" w:ascii="仿宋" w:hAnsi="仿宋" w:eastAsia="仿宋" w:cs="仿宋"/>
                <w:bCs/>
                <w:color w:val="auto"/>
                <w:szCs w:val="21"/>
                <w:highlight w:val="none"/>
              </w:rPr>
              <w:t>明市官渡区人民政府长水街道办事处（昆明市官渡区滇中保障房宝河家园（C3地块）11栋）</w:t>
            </w:r>
            <w:r>
              <w:rPr>
                <w:rFonts w:hint="eastAsia" w:ascii="仿宋" w:hAnsi="仿宋" w:eastAsia="仿宋" w:cs="仿宋"/>
                <w:bCs/>
                <w:color w:val="auto"/>
                <w:szCs w:val="21"/>
                <w:highlight w:val="none"/>
                <w:lang w:val="en-US" w:eastAsia="zh-CN"/>
              </w:rPr>
              <w:t>223号会议室</w:t>
            </w:r>
            <w:r>
              <w:rPr>
                <w:rFonts w:hint="eastAsia" w:ascii="仿宋" w:hAnsi="仿宋" w:eastAsia="仿宋" w:cs="仿宋"/>
                <w:bCs/>
                <w:color w:val="auto"/>
                <w:szCs w:val="21"/>
                <w:highlight w:val="none"/>
              </w:rPr>
              <w:t>。</w:t>
            </w:r>
          </w:p>
        </w:tc>
      </w:tr>
      <w:tr w14:paraId="0EA1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190065EE">
            <w:pPr>
              <w:rPr>
                <w:rFonts w:ascii="仿宋" w:hAnsi="仿宋" w:eastAsia="仿宋" w:cs="仿宋"/>
                <w:color w:val="auto"/>
                <w:szCs w:val="21"/>
                <w:highlight w:val="none"/>
              </w:rPr>
            </w:pPr>
            <w:r>
              <w:rPr>
                <w:rFonts w:hint="eastAsia" w:ascii="仿宋" w:hAnsi="仿宋" w:eastAsia="仿宋" w:cs="仿宋"/>
                <w:color w:val="auto"/>
                <w:szCs w:val="21"/>
                <w:highlight w:val="none"/>
              </w:rPr>
              <w:t>6.1.1</w:t>
            </w:r>
          </w:p>
        </w:tc>
        <w:tc>
          <w:tcPr>
            <w:tcW w:w="1692" w:type="dxa"/>
            <w:tcBorders>
              <w:top w:val="single" w:color="auto" w:sz="4" w:space="0"/>
              <w:left w:val="single" w:color="auto" w:sz="4" w:space="0"/>
              <w:bottom w:val="single" w:color="auto" w:sz="4" w:space="0"/>
              <w:right w:val="single" w:color="auto" w:sz="4" w:space="0"/>
            </w:tcBorders>
            <w:noWrap/>
            <w:vAlign w:val="center"/>
          </w:tcPr>
          <w:p w14:paraId="17B07EDE">
            <w:pPr>
              <w:rPr>
                <w:rFonts w:ascii="仿宋" w:hAnsi="仿宋" w:eastAsia="仿宋" w:cs="仿宋"/>
                <w:color w:val="auto"/>
                <w:szCs w:val="21"/>
                <w:highlight w:val="none"/>
              </w:rPr>
            </w:pPr>
            <w:r>
              <w:rPr>
                <w:rFonts w:hint="eastAsia" w:ascii="仿宋" w:hAnsi="仿宋" w:eastAsia="仿宋" w:cs="仿宋"/>
                <w:color w:val="auto"/>
                <w:szCs w:val="21"/>
                <w:highlight w:val="none"/>
              </w:rPr>
              <w:t>磋商小组的组建</w:t>
            </w:r>
          </w:p>
        </w:tc>
        <w:tc>
          <w:tcPr>
            <w:tcW w:w="7800" w:type="dxa"/>
            <w:tcBorders>
              <w:top w:val="single" w:color="auto" w:sz="4" w:space="0"/>
              <w:left w:val="single" w:color="auto" w:sz="4" w:space="0"/>
              <w:bottom w:val="single" w:color="auto" w:sz="4" w:space="0"/>
              <w:right w:val="single" w:color="auto" w:sz="4" w:space="0"/>
            </w:tcBorders>
            <w:noWrap/>
            <w:vAlign w:val="center"/>
          </w:tcPr>
          <w:p w14:paraId="4592A8BE">
            <w:pPr>
              <w:rPr>
                <w:rFonts w:ascii="仿宋" w:hAnsi="仿宋" w:eastAsia="仿宋" w:cs="仿宋"/>
                <w:color w:val="auto"/>
                <w:szCs w:val="21"/>
                <w:highlight w:val="none"/>
              </w:rPr>
            </w:pPr>
            <w:r>
              <w:rPr>
                <w:rFonts w:hint="eastAsia" w:ascii="仿宋" w:hAnsi="仿宋" w:eastAsia="仿宋" w:cs="仿宋"/>
                <w:color w:val="auto"/>
                <w:sz w:val="21"/>
                <w:szCs w:val="21"/>
                <w:highlight w:val="none"/>
              </w:rPr>
              <w:t>磋商小组由采购人依法组建，磋商小组为3人以上单数，磋商由磋商小组负责。</w:t>
            </w:r>
          </w:p>
        </w:tc>
      </w:tr>
      <w:tr w14:paraId="40E5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0E61E577">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6.3</w:t>
            </w:r>
          </w:p>
        </w:tc>
        <w:tc>
          <w:tcPr>
            <w:tcW w:w="1692" w:type="dxa"/>
            <w:tcBorders>
              <w:top w:val="single" w:color="auto" w:sz="4" w:space="0"/>
              <w:left w:val="single" w:color="auto" w:sz="4" w:space="0"/>
              <w:bottom w:val="single" w:color="auto" w:sz="4" w:space="0"/>
              <w:right w:val="single" w:color="auto" w:sz="4" w:space="0"/>
            </w:tcBorders>
            <w:noWrap/>
            <w:vAlign w:val="center"/>
          </w:tcPr>
          <w:p w14:paraId="49FA2676">
            <w:pP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磋商</w:t>
            </w:r>
          </w:p>
        </w:tc>
        <w:tc>
          <w:tcPr>
            <w:tcW w:w="7800" w:type="dxa"/>
            <w:tcBorders>
              <w:top w:val="single" w:color="auto" w:sz="4" w:space="0"/>
              <w:left w:val="single" w:color="auto" w:sz="4" w:space="0"/>
              <w:bottom w:val="single" w:color="auto" w:sz="4" w:space="0"/>
              <w:right w:val="single" w:color="auto" w:sz="4" w:space="0"/>
            </w:tcBorders>
            <w:noWrap/>
            <w:vAlign w:val="center"/>
          </w:tcPr>
          <w:p w14:paraId="0B173AB3">
            <w:pP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磋商采用综合评估打分法，详见竞争性磋商文件第六章“磋商程序和办法”。</w:t>
            </w:r>
          </w:p>
        </w:tc>
      </w:tr>
      <w:tr w14:paraId="7861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24CBA04D">
            <w:pPr>
              <w:rPr>
                <w:rFonts w:ascii="仿宋" w:hAnsi="仿宋" w:eastAsia="仿宋" w:cs="仿宋"/>
                <w:color w:val="auto"/>
                <w:szCs w:val="21"/>
                <w:highlight w:val="none"/>
              </w:rPr>
            </w:pPr>
            <w:r>
              <w:rPr>
                <w:rFonts w:hint="eastAsia" w:ascii="仿宋" w:hAnsi="仿宋" w:eastAsia="仿宋" w:cs="仿宋"/>
                <w:color w:val="auto"/>
                <w:szCs w:val="21"/>
                <w:highlight w:val="none"/>
              </w:rPr>
              <w:t>7.1</w:t>
            </w:r>
          </w:p>
        </w:tc>
        <w:tc>
          <w:tcPr>
            <w:tcW w:w="1692" w:type="dxa"/>
            <w:tcBorders>
              <w:top w:val="single" w:color="auto" w:sz="4" w:space="0"/>
              <w:left w:val="single" w:color="auto" w:sz="4" w:space="0"/>
              <w:bottom w:val="single" w:color="auto" w:sz="4" w:space="0"/>
              <w:right w:val="single" w:color="auto" w:sz="4" w:space="0"/>
            </w:tcBorders>
            <w:noWrap/>
            <w:vAlign w:val="center"/>
          </w:tcPr>
          <w:p w14:paraId="56A794F9">
            <w:pPr>
              <w:rPr>
                <w:rFonts w:ascii="仿宋" w:hAnsi="仿宋" w:eastAsia="仿宋" w:cs="仿宋"/>
                <w:color w:val="auto"/>
                <w:szCs w:val="21"/>
                <w:highlight w:val="none"/>
              </w:rPr>
            </w:pPr>
            <w:r>
              <w:rPr>
                <w:rFonts w:hint="eastAsia" w:ascii="仿宋" w:hAnsi="仿宋" w:eastAsia="仿宋" w:cs="仿宋"/>
                <w:color w:val="auto"/>
                <w:szCs w:val="21"/>
                <w:highlight w:val="none"/>
              </w:rPr>
              <w:t>是否授权磋商小组确定成交人</w:t>
            </w:r>
          </w:p>
        </w:tc>
        <w:tc>
          <w:tcPr>
            <w:tcW w:w="7800" w:type="dxa"/>
            <w:tcBorders>
              <w:top w:val="single" w:color="auto" w:sz="4" w:space="0"/>
              <w:left w:val="single" w:color="auto" w:sz="4" w:space="0"/>
              <w:bottom w:val="single" w:color="auto" w:sz="4" w:space="0"/>
              <w:right w:val="single" w:color="auto" w:sz="4" w:space="0"/>
            </w:tcBorders>
            <w:noWrap/>
            <w:vAlign w:val="center"/>
          </w:tcPr>
          <w:p w14:paraId="67BF3371">
            <w:pPr>
              <w:rPr>
                <w:rFonts w:ascii="仿宋" w:hAnsi="仿宋" w:eastAsia="仿宋" w:cs="仿宋"/>
                <w:color w:val="auto"/>
                <w:szCs w:val="21"/>
                <w:highlight w:val="none"/>
              </w:rPr>
            </w:pPr>
            <w:r>
              <w:rPr>
                <w:rFonts w:hint="eastAsia" w:ascii="仿宋" w:hAnsi="仿宋" w:eastAsia="仿宋" w:cs="仿宋"/>
                <w:color w:val="auto"/>
                <w:szCs w:val="21"/>
                <w:highlight w:val="none"/>
              </w:rPr>
              <w:t>■ 否</w:t>
            </w:r>
          </w:p>
          <w:p w14:paraId="7484480B">
            <w:pPr>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推荐的成交候选人数：3名。 </w:t>
            </w:r>
          </w:p>
        </w:tc>
      </w:tr>
      <w:tr w14:paraId="1092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7020A419">
            <w:pP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7.3.3</w:t>
            </w:r>
          </w:p>
        </w:tc>
        <w:tc>
          <w:tcPr>
            <w:tcW w:w="1692" w:type="dxa"/>
            <w:tcBorders>
              <w:top w:val="single" w:color="auto" w:sz="4" w:space="0"/>
              <w:left w:val="single" w:color="auto" w:sz="4" w:space="0"/>
              <w:bottom w:val="single" w:color="auto" w:sz="4" w:space="0"/>
              <w:right w:val="single" w:color="auto" w:sz="4" w:space="0"/>
            </w:tcBorders>
            <w:noWrap/>
            <w:vAlign w:val="center"/>
          </w:tcPr>
          <w:p w14:paraId="1530F07A">
            <w:pPr>
              <w:rPr>
                <w:rFonts w:ascii="仿宋" w:hAnsi="仿宋" w:eastAsia="仿宋" w:cs="仿宋"/>
                <w:color w:val="auto"/>
                <w:szCs w:val="21"/>
                <w:highlight w:val="none"/>
              </w:rPr>
            </w:pPr>
            <w:r>
              <w:rPr>
                <w:rFonts w:hint="eastAsia" w:ascii="仿宋" w:hAnsi="仿宋" w:eastAsia="仿宋" w:cs="仿宋"/>
                <w:color w:val="auto"/>
                <w:szCs w:val="21"/>
                <w:highlight w:val="none"/>
              </w:rPr>
              <w:t>履约保证金</w:t>
            </w:r>
          </w:p>
        </w:tc>
        <w:tc>
          <w:tcPr>
            <w:tcW w:w="7800" w:type="dxa"/>
            <w:tcBorders>
              <w:top w:val="single" w:color="auto" w:sz="4" w:space="0"/>
              <w:left w:val="single" w:color="auto" w:sz="4" w:space="0"/>
              <w:bottom w:val="single" w:color="auto" w:sz="4" w:space="0"/>
              <w:right w:val="single" w:color="auto" w:sz="4" w:space="0"/>
            </w:tcBorders>
            <w:noWrap/>
            <w:vAlign w:val="center"/>
          </w:tcPr>
          <w:p w14:paraId="41195313">
            <w:pPr>
              <w:rPr>
                <w:rFonts w:ascii="仿宋" w:hAnsi="仿宋" w:eastAsia="仿宋" w:cs="仿宋"/>
                <w:color w:val="auto"/>
                <w:szCs w:val="21"/>
                <w:highlight w:val="none"/>
              </w:rPr>
            </w:pPr>
            <w:r>
              <w:rPr>
                <w:rFonts w:hint="eastAsia" w:ascii="仿宋" w:hAnsi="仿宋" w:eastAsia="仿宋" w:cs="仿宋"/>
                <w:color w:val="auto"/>
                <w:szCs w:val="21"/>
                <w:highlight w:val="none"/>
              </w:rPr>
              <w:t>无要求。</w:t>
            </w:r>
          </w:p>
        </w:tc>
      </w:tr>
      <w:tr w14:paraId="38E8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25C0EF70">
            <w:pPr>
              <w:rPr>
                <w:rFonts w:ascii="仿宋" w:hAnsi="仿宋" w:eastAsia="仿宋" w:cs="仿宋"/>
                <w:color w:val="auto"/>
                <w:szCs w:val="21"/>
                <w:highlight w:val="none"/>
              </w:rPr>
            </w:pPr>
            <w:r>
              <w:rPr>
                <w:rFonts w:hint="eastAsia" w:ascii="仿宋" w:hAnsi="仿宋" w:eastAsia="仿宋" w:cs="仿宋"/>
                <w:color w:val="auto"/>
                <w:szCs w:val="21"/>
                <w:highlight w:val="none"/>
              </w:rPr>
              <w:t>10</w:t>
            </w:r>
          </w:p>
        </w:tc>
        <w:tc>
          <w:tcPr>
            <w:tcW w:w="9492" w:type="dxa"/>
            <w:gridSpan w:val="2"/>
            <w:tcBorders>
              <w:top w:val="single" w:color="auto" w:sz="4" w:space="0"/>
              <w:left w:val="single" w:color="auto" w:sz="4" w:space="0"/>
              <w:bottom w:val="single" w:color="auto" w:sz="4" w:space="0"/>
              <w:right w:val="single" w:color="auto" w:sz="4" w:space="0"/>
            </w:tcBorders>
            <w:noWrap/>
            <w:vAlign w:val="center"/>
          </w:tcPr>
          <w:p w14:paraId="01BD287F">
            <w:pPr>
              <w:rPr>
                <w:rFonts w:ascii="仿宋" w:hAnsi="仿宋" w:eastAsia="仿宋" w:cs="仿宋"/>
                <w:color w:val="auto"/>
                <w:szCs w:val="21"/>
                <w:highlight w:val="none"/>
              </w:rPr>
            </w:pPr>
            <w:r>
              <w:rPr>
                <w:rFonts w:hint="eastAsia" w:ascii="仿宋" w:hAnsi="仿宋" w:eastAsia="仿宋" w:cs="仿宋"/>
                <w:color w:val="auto"/>
                <w:szCs w:val="21"/>
                <w:highlight w:val="none"/>
              </w:rPr>
              <w:t>需要补充的其他内容</w:t>
            </w:r>
          </w:p>
        </w:tc>
      </w:tr>
      <w:tr w14:paraId="4AA4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32F12FF9">
            <w:pPr>
              <w:rPr>
                <w:rFonts w:ascii="仿宋" w:hAnsi="仿宋" w:eastAsia="仿宋" w:cs="仿宋"/>
                <w:color w:val="auto"/>
                <w:szCs w:val="21"/>
                <w:highlight w:val="none"/>
              </w:rPr>
            </w:pPr>
            <w:r>
              <w:rPr>
                <w:rFonts w:hint="eastAsia" w:ascii="仿宋" w:hAnsi="仿宋" w:eastAsia="仿宋" w:cs="仿宋"/>
                <w:color w:val="auto"/>
                <w:szCs w:val="21"/>
                <w:highlight w:val="none"/>
              </w:rPr>
              <w:t>10.1</w:t>
            </w:r>
          </w:p>
        </w:tc>
        <w:tc>
          <w:tcPr>
            <w:tcW w:w="9492" w:type="dxa"/>
            <w:gridSpan w:val="2"/>
            <w:tcBorders>
              <w:top w:val="single" w:color="auto" w:sz="4" w:space="0"/>
              <w:left w:val="single" w:color="auto" w:sz="4" w:space="0"/>
              <w:bottom w:val="single" w:color="auto" w:sz="4" w:space="0"/>
              <w:right w:val="single" w:color="auto" w:sz="4" w:space="0"/>
            </w:tcBorders>
            <w:noWrap/>
            <w:vAlign w:val="center"/>
          </w:tcPr>
          <w:p w14:paraId="0800FD38">
            <w:pPr>
              <w:rPr>
                <w:rFonts w:ascii="仿宋" w:hAnsi="仿宋" w:eastAsia="仿宋" w:cs="仿宋"/>
                <w:color w:val="auto"/>
                <w:szCs w:val="21"/>
                <w:highlight w:val="none"/>
              </w:rPr>
            </w:pPr>
            <w:r>
              <w:rPr>
                <w:rFonts w:hint="eastAsia" w:ascii="仿宋" w:hAnsi="仿宋" w:eastAsia="仿宋" w:cs="仿宋"/>
                <w:color w:val="auto"/>
                <w:szCs w:val="21"/>
                <w:highlight w:val="none"/>
              </w:rPr>
              <w:t>供应商为响应文件中所附资料复印件与原件的一致性负责，采购人有权在磋商有效期内审核成交人在响应文件中所附资料的原件，若发现与原件资料不一致的情况，取消成交资格，且上报财政部门列入失信行为。采购人有权保留追究其法律责任的权利。</w:t>
            </w:r>
          </w:p>
        </w:tc>
      </w:tr>
      <w:tr w14:paraId="58F0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1B1D2CEC">
            <w:pPr>
              <w:rPr>
                <w:rFonts w:ascii="仿宋" w:hAnsi="仿宋" w:eastAsia="仿宋" w:cs="仿宋"/>
                <w:color w:val="auto"/>
                <w:szCs w:val="21"/>
                <w:highlight w:val="none"/>
              </w:rPr>
            </w:pPr>
            <w:r>
              <w:rPr>
                <w:rFonts w:hint="eastAsia" w:ascii="仿宋" w:hAnsi="仿宋" w:eastAsia="仿宋" w:cs="仿宋"/>
                <w:color w:val="auto"/>
                <w:szCs w:val="21"/>
                <w:highlight w:val="none"/>
              </w:rPr>
              <w:t>10.2</w:t>
            </w:r>
          </w:p>
        </w:tc>
        <w:tc>
          <w:tcPr>
            <w:tcW w:w="9492" w:type="dxa"/>
            <w:gridSpan w:val="2"/>
            <w:tcBorders>
              <w:top w:val="single" w:color="auto" w:sz="4" w:space="0"/>
              <w:left w:val="single" w:color="auto" w:sz="4" w:space="0"/>
              <w:bottom w:val="single" w:color="auto" w:sz="4" w:space="0"/>
              <w:right w:val="single" w:color="auto" w:sz="4" w:space="0"/>
            </w:tcBorders>
            <w:noWrap/>
            <w:vAlign w:val="center"/>
          </w:tcPr>
          <w:p w14:paraId="6C17F87E">
            <w:pPr>
              <w:rPr>
                <w:rFonts w:ascii="仿宋" w:hAnsi="仿宋" w:eastAsia="仿宋" w:cs="仿宋"/>
                <w:color w:val="auto"/>
                <w:szCs w:val="21"/>
                <w:highlight w:val="none"/>
              </w:rPr>
            </w:pPr>
            <w:r>
              <w:rPr>
                <w:rFonts w:hint="eastAsia" w:ascii="仿宋" w:hAnsi="仿宋" w:eastAsia="仿宋" w:cs="仿宋"/>
                <w:color w:val="auto"/>
                <w:szCs w:val="21"/>
                <w:highlight w:val="none"/>
              </w:rPr>
              <w:t>递交响应文件时，供应商应携带以下资料原件，并由</w:t>
            </w:r>
            <w:r>
              <w:rPr>
                <w:rFonts w:hint="eastAsia" w:ascii="仿宋" w:hAnsi="仿宋" w:eastAsia="仿宋" w:cs="仿宋"/>
                <w:color w:val="auto"/>
                <w:szCs w:val="21"/>
                <w:highlight w:val="none"/>
                <w:lang w:val="en-US" w:eastAsia="zh-CN"/>
              </w:rPr>
              <w:t>采购人经办人</w:t>
            </w:r>
            <w:r>
              <w:rPr>
                <w:rFonts w:hint="eastAsia" w:ascii="仿宋" w:hAnsi="仿宋" w:eastAsia="仿宋" w:cs="仿宋"/>
                <w:color w:val="auto"/>
                <w:szCs w:val="21"/>
                <w:highlight w:val="none"/>
              </w:rPr>
              <w:t>登记收取后交由磋商小组审验：</w:t>
            </w:r>
          </w:p>
          <w:p w14:paraId="19193C8D">
            <w:pPr>
              <w:rPr>
                <w:rFonts w:ascii="仿宋" w:hAnsi="仿宋" w:eastAsia="仿宋" w:cs="仿宋"/>
                <w:color w:val="auto"/>
                <w:szCs w:val="21"/>
                <w:highlight w:val="none"/>
              </w:rPr>
            </w:pPr>
            <w:r>
              <w:rPr>
                <w:rFonts w:hint="eastAsia" w:ascii="仿宋" w:hAnsi="仿宋" w:eastAsia="仿宋" w:cs="仿宋"/>
                <w:color w:val="auto"/>
                <w:szCs w:val="21"/>
                <w:highlight w:val="none"/>
              </w:rPr>
              <w:t>1、法定代表人身份证明书；2、授权委托书（由授权代理人递交响应文件时提供）；3、法定代表人身份证原件（由法定代表人递交响应文件时提供）或授权代理人身份证原件（由授权代理人递交响应文件时提供）</w:t>
            </w:r>
          </w:p>
        </w:tc>
      </w:tr>
      <w:tr w14:paraId="4A41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noWrap/>
            <w:vAlign w:val="center"/>
          </w:tcPr>
          <w:p w14:paraId="3E13EA5C">
            <w:pPr>
              <w:rPr>
                <w:rFonts w:ascii="仿宋" w:hAnsi="仿宋" w:eastAsia="仿宋" w:cs="仿宋"/>
                <w:color w:val="auto"/>
                <w:szCs w:val="21"/>
                <w:highlight w:val="none"/>
              </w:rPr>
            </w:pPr>
            <w:r>
              <w:rPr>
                <w:rFonts w:hint="eastAsia" w:ascii="仿宋" w:hAnsi="仿宋" w:eastAsia="仿宋" w:cs="仿宋"/>
                <w:color w:val="auto"/>
                <w:szCs w:val="21"/>
                <w:highlight w:val="none"/>
              </w:rPr>
              <w:t>10.3</w:t>
            </w:r>
          </w:p>
        </w:tc>
        <w:tc>
          <w:tcPr>
            <w:tcW w:w="9492" w:type="dxa"/>
            <w:gridSpan w:val="2"/>
            <w:tcBorders>
              <w:top w:val="single" w:color="auto" w:sz="4" w:space="0"/>
              <w:left w:val="single" w:color="auto" w:sz="4" w:space="0"/>
              <w:bottom w:val="single" w:color="auto" w:sz="4" w:space="0"/>
              <w:right w:val="single" w:color="auto" w:sz="4" w:space="0"/>
            </w:tcBorders>
            <w:noWrap/>
            <w:vAlign w:val="center"/>
          </w:tcPr>
          <w:p w14:paraId="0EB93892">
            <w:pPr>
              <w:rPr>
                <w:rFonts w:ascii="仿宋" w:hAnsi="仿宋" w:eastAsia="仿宋" w:cs="仿宋"/>
                <w:color w:val="auto"/>
                <w:szCs w:val="21"/>
                <w:highlight w:val="none"/>
              </w:rPr>
            </w:pPr>
            <w:r>
              <w:rPr>
                <w:rFonts w:hint="eastAsia" w:ascii="仿宋" w:hAnsi="仿宋" w:eastAsia="仿宋" w:cs="仿宋"/>
                <w:color w:val="auto"/>
                <w:szCs w:val="21"/>
                <w:highlight w:val="none"/>
              </w:rPr>
              <w:t>本项目采购内容对应的中小企业划分标准所属行业为租赁和商务服务业。</w:t>
            </w:r>
          </w:p>
        </w:tc>
      </w:tr>
    </w:tbl>
    <w:p w14:paraId="58C15BF7">
      <w:pPr>
        <w:rPr>
          <w:rFonts w:ascii="仿宋" w:hAnsi="仿宋" w:eastAsia="仿宋" w:cs="仿宋"/>
          <w:color w:val="auto"/>
          <w:szCs w:val="21"/>
          <w:highlight w:val="none"/>
        </w:rPr>
      </w:pPr>
      <w:r>
        <w:rPr>
          <w:rFonts w:hint="eastAsia" w:ascii="仿宋" w:hAnsi="仿宋" w:eastAsia="仿宋" w:cs="仿宋"/>
          <w:color w:val="auto"/>
          <w:szCs w:val="21"/>
          <w:highlight w:val="none"/>
        </w:rPr>
        <w:br w:type="page"/>
      </w:r>
    </w:p>
    <w:p w14:paraId="09DFEAFE">
      <w:pPr>
        <w:spacing w:line="360" w:lineRule="auto"/>
        <w:jc w:val="center"/>
        <w:outlineLvl w:val="1"/>
        <w:rPr>
          <w:rFonts w:ascii="仿宋" w:hAnsi="仿宋" w:eastAsia="仿宋" w:cs="仿宋"/>
          <w:b/>
          <w:bCs/>
          <w:color w:val="auto"/>
          <w:sz w:val="28"/>
          <w:szCs w:val="28"/>
          <w:highlight w:val="none"/>
        </w:rPr>
      </w:pPr>
      <w:bookmarkStart w:id="60" w:name="_Toc10157"/>
      <w:bookmarkStart w:id="61" w:name="_Toc1951"/>
      <w:r>
        <w:rPr>
          <w:rFonts w:hint="eastAsia" w:ascii="仿宋" w:hAnsi="仿宋" w:eastAsia="仿宋" w:cs="仿宋"/>
          <w:b/>
          <w:bCs/>
          <w:color w:val="auto"/>
          <w:sz w:val="28"/>
          <w:szCs w:val="28"/>
          <w:highlight w:val="none"/>
        </w:rPr>
        <w:t>二、供应商须知</w:t>
      </w:r>
      <w:bookmarkEnd w:id="60"/>
      <w:bookmarkEnd w:id="61"/>
    </w:p>
    <w:p w14:paraId="445139CB">
      <w:pPr>
        <w:pStyle w:val="5"/>
        <w:numPr>
          <w:ilvl w:val="2"/>
          <w:numId w:val="0"/>
        </w:numPr>
        <w:spacing w:before="0" w:after="0"/>
        <w:rPr>
          <w:rFonts w:ascii="仿宋" w:hAnsi="仿宋" w:eastAsia="仿宋" w:cs="仿宋"/>
          <w:color w:val="auto"/>
          <w:szCs w:val="24"/>
          <w:highlight w:val="none"/>
        </w:rPr>
      </w:pPr>
      <w:bookmarkStart w:id="62" w:name="_Toc420429868"/>
      <w:bookmarkStart w:id="63" w:name="_Toc371606499"/>
      <w:bookmarkStart w:id="64" w:name="_Toc420598312"/>
      <w:bookmarkStart w:id="65" w:name="_Toc350614790"/>
      <w:bookmarkStart w:id="66" w:name="_Toc14178"/>
      <w:r>
        <w:rPr>
          <w:rFonts w:hint="eastAsia" w:ascii="仿宋" w:hAnsi="仿宋" w:eastAsia="仿宋" w:cs="仿宋"/>
          <w:color w:val="auto"/>
          <w:szCs w:val="24"/>
          <w:highlight w:val="none"/>
        </w:rPr>
        <w:t>1. 总则</w:t>
      </w:r>
      <w:bookmarkEnd w:id="62"/>
      <w:bookmarkEnd w:id="63"/>
      <w:bookmarkEnd w:id="64"/>
      <w:bookmarkEnd w:id="65"/>
      <w:bookmarkEnd w:id="66"/>
    </w:p>
    <w:p w14:paraId="363E4B31">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 项目概况</w:t>
      </w:r>
    </w:p>
    <w:p w14:paraId="3F8BAEC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1.1.1根据《中华人民共和国政府采购法》、《中华人民共和国政府采购法实施条例》、《政府采购非招标采购方式管理办法》（财政部74号令）、《政府采购竞争性磋商采购方式管理暂行办法》等有关法律、法规和规章的规定，本项目已具备竞争性磋商条件，现对本项目进行磋商。</w:t>
      </w:r>
    </w:p>
    <w:p w14:paraId="6582820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1.1.2 本项目采购人：见供应商须知前附表。</w:t>
      </w:r>
    </w:p>
    <w:p w14:paraId="2189C40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1.1.3本项目名称：见供应商须知前附表。</w:t>
      </w:r>
    </w:p>
    <w:p w14:paraId="6978D9A4">
      <w:pPr>
        <w:pStyle w:val="6"/>
        <w:spacing w:line="360" w:lineRule="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1.2 资金来源和落实情况</w:t>
      </w:r>
      <w:r>
        <w:rPr>
          <w:rFonts w:hint="eastAsia" w:ascii="仿宋" w:hAnsi="仿宋" w:eastAsia="仿宋" w:cs="仿宋"/>
          <w:color w:val="auto"/>
          <w:sz w:val="21"/>
          <w:szCs w:val="21"/>
          <w:highlight w:val="none"/>
          <w:lang w:val="en-US" w:eastAsia="zh-CN"/>
        </w:rPr>
        <w:t xml:space="preserve">  </w:t>
      </w:r>
    </w:p>
    <w:p w14:paraId="32F3027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1.2.1 本项目的资金来源：见供应商须知前附表。</w:t>
      </w:r>
    </w:p>
    <w:p w14:paraId="45A539CF">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1.3 竞争性磋商范围、工作时限、项目地点及质量要求</w:t>
      </w:r>
    </w:p>
    <w:p w14:paraId="6F5F5A2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1.3.1 本项目竞争性磋商范围：见供应商须知前附表。</w:t>
      </w:r>
    </w:p>
    <w:p w14:paraId="780472A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1.3.2本项目工作时限：见供应商须知前附表。</w:t>
      </w:r>
    </w:p>
    <w:p w14:paraId="6744ED6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1.3.3 本项目地点：见供应商须知前附表。</w:t>
      </w:r>
    </w:p>
    <w:p w14:paraId="4661540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1.3.4本项目质量要求：见供应商须知前附表。</w:t>
      </w:r>
    </w:p>
    <w:p w14:paraId="7D859BE3">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1.4 供应商资格要求</w:t>
      </w:r>
    </w:p>
    <w:p w14:paraId="1B233C1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1.4.1 供应商应具备承担本项目的资格要求：见供应商须知前附表。</w:t>
      </w:r>
    </w:p>
    <w:p w14:paraId="5287F0E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1.4.2本项目不接受联合体磋商。</w:t>
      </w:r>
    </w:p>
    <w:p w14:paraId="7C266F5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1.4.3供应商不得存在下列情形之一：</w:t>
      </w:r>
    </w:p>
    <w:p w14:paraId="66F89F4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（l）为采购人不具有独立法人资格的附属机构（单位）; </w:t>
      </w:r>
    </w:p>
    <w:p w14:paraId="0146C8D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（2）被责令停业的；</w:t>
      </w:r>
    </w:p>
    <w:p w14:paraId="7060C96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（3）被暂停或取消投标资格的；</w:t>
      </w:r>
    </w:p>
    <w:p w14:paraId="21D0748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（4）财产被接管或冻结的；</w:t>
      </w:r>
    </w:p>
    <w:p w14:paraId="6B1B010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（5）在最近三年内有骗取中标或严重违约问题的。</w:t>
      </w:r>
    </w:p>
    <w:p w14:paraId="56CAFA6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1.4.4法定代表人为同一个人的两个及两个以上法人，母公司、全资子公司及其控股公司，都不得在同一项目采购中同时竞争。</w:t>
      </w:r>
    </w:p>
    <w:p w14:paraId="52DC36BD">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1.5 费用承担</w:t>
      </w:r>
    </w:p>
    <w:p w14:paraId="46EB0DA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1.5.1供应商准备和参加磋商活动发生的费用自理。</w:t>
      </w:r>
    </w:p>
    <w:p w14:paraId="266E1EC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1.5.2本项目公证费由成交人按云南省规定向公证机构支付（如有）。</w:t>
      </w:r>
    </w:p>
    <w:p w14:paraId="5C6DF6E2">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1.6 保密</w:t>
      </w:r>
    </w:p>
    <w:p w14:paraId="7D7890F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参与招标投标活动的各方应对竞争性磋商文件和响应文件中的商业和技术等秘密保密，违者应对由此造成的后果承担法律责任。</w:t>
      </w:r>
    </w:p>
    <w:p w14:paraId="1F306A6C">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1.7 语言文字</w:t>
      </w:r>
    </w:p>
    <w:p w14:paraId="4FB01CD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除专用术语外，与招标投标有关的语言均使用中文。必要时专用术语应附有中文注释。</w:t>
      </w:r>
    </w:p>
    <w:p w14:paraId="093DD9B5">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1.8 计量单位</w:t>
      </w:r>
    </w:p>
    <w:p w14:paraId="5409050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所有计量均采用中华人民共和国法定计量单位。</w:t>
      </w:r>
    </w:p>
    <w:p w14:paraId="4D69B400">
      <w:pPr>
        <w:pStyle w:val="6"/>
        <w:spacing w:line="360" w:lineRule="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1.9 磋商预备会</w:t>
      </w:r>
      <w:r>
        <w:rPr>
          <w:rFonts w:hint="eastAsia" w:ascii="仿宋" w:hAnsi="仿宋" w:eastAsia="仿宋" w:cs="仿宋"/>
          <w:color w:val="auto"/>
          <w:sz w:val="21"/>
          <w:szCs w:val="21"/>
          <w:highlight w:val="none"/>
          <w:lang w:val="en-US" w:eastAsia="zh-CN"/>
        </w:rPr>
        <w:t xml:space="preserve">  </w:t>
      </w:r>
    </w:p>
    <w:p w14:paraId="0A866B4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1.9.1 供应商须知前附表规定召开磋商预备会的，采购人按供应商须知前附表规定的时间和地点召开磋商预备会，澄清供应商提出的问题。</w:t>
      </w:r>
    </w:p>
    <w:p w14:paraId="7E2AD9E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1.9.2 供应商应在供应商须知前附表规定的时间前，以书面形式将提出的问题送达采购人，以便采购人在会议期间澄清。</w:t>
      </w:r>
    </w:p>
    <w:p w14:paraId="4F6A703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1.9.3 磋商预备会后，采购人在供应商须知前附表规定的时间内，将对供应商所提问题的澄清，以书面方式通知所有购买竞争性磋商文件的供应商。该澄清内容为竞争性磋商文件的组成部分。</w:t>
      </w:r>
    </w:p>
    <w:p w14:paraId="6D88229C">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1.10偏离</w:t>
      </w:r>
    </w:p>
    <w:p w14:paraId="05894C5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供应商须知前附表允许响应文件偏离竞争性磋商文件某些要求的，偏离应当符合竞争性磋商文件规定的偏离范围和幅度。</w:t>
      </w:r>
    </w:p>
    <w:p w14:paraId="7BFBB351">
      <w:pPr>
        <w:pStyle w:val="5"/>
        <w:numPr>
          <w:ilvl w:val="2"/>
          <w:numId w:val="0"/>
        </w:numPr>
        <w:spacing w:before="0" w:after="0"/>
        <w:ind w:left="1588" w:hanging="737"/>
        <w:rPr>
          <w:rFonts w:ascii="仿宋" w:hAnsi="仿宋" w:eastAsia="仿宋" w:cs="仿宋"/>
          <w:color w:val="auto"/>
          <w:szCs w:val="24"/>
          <w:highlight w:val="none"/>
        </w:rPr>
      </w:pPr>
      <w:bookmarkStart w:id="67" w:name="_Toc371606500"/>
      <w:bookmarkStart w:id="68" w:name="_Toc420429869"/>
      <w:bookmarkStart w:id="69" w:name="_Toc420598313"/>
      <w:bookmarkStart w:id="70" w:name="_Toc350614791"/>
      <w:bookmarkStart w:id="71" w:name="_Toc18792"/>
      <w:r>
        <w:rPr>
          <w:rFonts w:hint="eastAsia" w:ascii="仿宋" w:hAnsi="仿宋" w:eastAsia="仿宋" w:cs="仿宋"/>
          <w:color w:val="auto"/>
          <w:szCs w:val="24"/>
          <w:highlight w:val="none"/>
        </w:rPr>
        <w:t>2. 竞争性磋商文件</w:t>
      </w:r>
      <w:bookmarkEnd w:id="67"/>
      <w:bookmarkEnd w:id="68"/>
      <w:bookmarkEnd w:id="69"/>
      <w:bookmarkEnd w:id="70"/>
      <w:bookmarkEnd w:id="71"/>
    </w:p>
    <w:p w14:paraId="70EFACD2">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2.1 竞争性磋商文件的组成</w:t>
      </w:r>
    </w:p>
    <w:p w14:paraId="6A388E5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本竞争性磋商文件包括：</w:t>
      </w:r>
    </w:p>
    <w:p w14:paraId="3549159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（1）竞争性磋商公告；</w:t>
      </w:r>
    </w:p>
    <w:p w14:paraId="17DEB7F8">
      <w:pPr>
        <w:spacing w:line="360" w:lineRule="auto"/>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（2）供应商须知；</w:t>
      </w:r>
      <w:r>
        <w:rPr>
          <w:rFonts w:hint="eastAsia" w:ascii="仿宋" w:hAnsi="仿宋" w:eastAsia="仿宋" w:cs="仿宋"/>
          <w:color w:val="auto"/>
          <w:szCs w:val="21"/>
          <w:highlight w:val="none"/>
          <w:lang w:val="en-US" w:eastAsia="zh-CN"/>
        </w:rPr>
        <w:t xml:space="preserve"> </w:t>
      </w:r>
    </w:p>
    <w:p w14:paraId="0BA2EC3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（3）合同书样式及主要条款。</w:t>
      </w:r>
    </w:p>
    <w:p w14:paraId="643DAED1">
      <w:pPr>
        <w:spacing w:line="360" w:lineRule="auto"/>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（4）响应文件格式；</w:t>
      </w:r>
      <w:r>
        <w:rPr>
          <w:rFonts w:hint="eastAsia" w:ascii="仿宋" w:hAnsi="仿宋" w:eastAsia="仿宋" w:cs="仿宋"/>
          <w:color w:val="auto"/>
          <w:szCs w:val="21"/>
          <w:highlight w:val="none"/>
          <w:lang w:val="en-US" w:eastAsia="zh-CN"/>
        </w:rPr>
        <w:t xml:space="preserve"> </w:t>
      </w:r>
    </w:p>
    <w:p w14:paraId="3CD2DD5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（5）采购需求；</w:t>
      </w:r>
    </w:p>
    <w:p w14:paraId="1CC59FE0">
      <w:pPr>
        <w:pStyle w:val="26"/>
        <w:spacing w:line="360" w:lineRule="auto"/>
        <w:ind w:firstLineChars="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（6）磋商程序和方法</w:t>
      </w:r>
    </w:p>
    <w:p w14:paraId="2A417F1C">
      <w:pPr>
        <w:pStyle w:val="26"/>
        <w:spacing w:line="360" w:lineRule="auto"/>
        <w:ind w:firstLineChars="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根据本章第1.9 款、第2.2 款和第2.3 款对竞争性磋商文件所作的澄清、修改，构成竞争性磋商文件的组成部分。</w:t>
      </w:r>
    </w:p>
    <w:p w14:paraId="109074C0">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2.2 竞争性磋商文件的澄清</w:t>
      </w:r>
    </w:p>
    <w:p w14:paraId="1F04537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2.2.1 供应商应仔细阅读和检查竞争性磋商文件的全部内容。如发现缺页或附件不全，应及时向采购人提出，以便补齐。如有疑问，应在供应商须知前附表规定的时间前以书面形式（包括信函、电报、传真等可以有形地表现所载内容的形式，下同），要求采购人对竞争性磋商文件予以澄清。</w:t>
      </w:r>
    </w:p>
    <w:p w14:paraId="2EBD86B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2.2.2 竞争性磋商文件的澄清将在供应商须知前附表规定的磋商截止时间5日前，以书面形式发给所有购买竞争性磋商文件的供应商，但不指明澄清问题的来源。如果澄清的内容影响响应文件编制的，且发出的时间距磋商截止时间不足5日，相应延长磋商截止时间。</w:t>
      </w:r>
    </w:p>
    <w:p w14:paraId="3BB0E8B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2.2.3 供应商在收到澄清后，应在供应商须知前附表规定的时间内以书面形式通知采购人，确认已收到该澄清。</w:t>
      </w:r>
    </w:p>
    <w:p w14:paraId="42A787F8">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2.3 竞争性磋商文件的修改</w:t>
      </w:r>
    </w:p>
    <w:p w14:paraId="16D9020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2.3.1 在磋商截止时间5</w:t>
      </w:r>
      <w:r>
        <w:rPr>
          <w:rFonts w:hint="eastAsia" w:ascii="仿宋" w:hAnsi="仿宋" w:eastAsia="仿宋" w:cs="仿宋"/>
          <w:color w:val="auto"/>
          <w:szCs w:val="21"/>
          <w:highlight w:val="none"/>
          <w:lang w:val="en-US" w:eastAsia="zh-CN"/>
        </w:rPr>
        <w:t>日</w:t>
      </w:r>
      <w:r>
        <w:rPr>
          <w:rFonts w:hint="eastAsia" w:ascii="仿宋" w:hAnsi="仿宋" w:eastAsia="仿宋" w:cs="仿宋"/>
          <w:color w:val="auto"/>
          <w:szCs w:val="21"/>
          <w:highlight w:val="none"/>
        </w:rPr>
        <w:t>前，采购人可以书面形式修改竞争性磋商文件，并通知所有已购买竞争性磋商文件的供应商。如果修改的内容影响响应文件编制的，且发出的时间距磋商截止时间不足5日，相应延长磋商截止时间。</w:t>
      </w:r>
    </w:p>
    <w:p w14:paraId="4BA1E9F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2.3.2供应商对竞争性磋商文件有异议的，应当在磋商截止时间5日前提出。采购人应当自收到异议之日起1日内答复；作出答复前，应当暂停招标投标活动。</w:t>
      </w:r>
    </w:p>
    <w:p w14:paraId="00536CC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2.3.3供应商收到修改内容后，应在供应商须知前附表规定的时间内以书面形式通知采购人，确认已收到该修改。</w:t>
      </w:r>
    </w:p>
    <w:p w14:paraId="4309E1A6">
      <w:pPr>
        <w:pStyle w:val="5"/>
        <w:numPr>
          <w:ilvl w:val="2"/>
          <w:numId w:val="0"/>
        </w:numPr>
        <w:spacing w:before="0" w:after="0"/>
        <w:ind w:left="1611" w:leftChars="767" w:firstLine="2530" w:firstLineChars="1050"/>
        <w:jc w:val="left"/>
        <w:rPr>
          <w:rFonts w:ascii="仿宋" w:hAnsi="仿宋" w:eastAsia="仿宋" w:cs="仿宋"/>
          <w:color w:val="auto"/>
          <w:szCs w:val="24"/>
          <w:highlight w:val="none"/>
        </w:rPr>
      </w:pPr>
      <w:bookmarkStart w:id="72" w:name="_Toc19223"/>
      <w:bookmarkStart w:id="73" w:name="_Toc420598314"/>
      <w:bookmarkStart w:id="74" w:name="_Toc350614792"/>
      <w:bookmarkStart w:id="75" w:name="_Toc371606501"/>
      <w:bookmarkStart w:id="76" w:name="_Toc420429870"/>
      <w:r>
        <w:rPr>
          <w:rFonts w:hint="eastAsia" w:ascii="仿宋" w:hAnsi="仿宋" w:eastAsia="仿宋" w:cs="仿宋"/>
          <w:color w:val="auto"/>
          <w:szCs w:val="24"/>
          <w:highlight w:val="none"/>
        </w:rPr>
        <w:t>3. 响应文件</w:t>
      </w:r>
      <w:bookmarkEnd w:id="72"/>
      <w:bookmarkEnd w:id="73"/>
      <w:bookmarkEnd w:id="74"/>
      <w:bookmarkEnd w:id="75"/>
      <w:bookmarkEnd w:id="76"/>
    </w:p>
    <w:p w14:paraId="643BA2D4">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3.1 响应文件的组成</w:t>
      </w:r>
    </w:p>
    <w:p w14:paraId="0CB2184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详见第</w:t>
      </w:r>
      <w:r>
        <w:rPr>
          <w:rFonts w:hint="eastAsia" w:ascii="仿宋" w:hAnsi="仿宋" w:eastAsia="仿宋" w:cs="仿宋"/>
          <w:color w:val="auto"/>
          <w:szCs w:val="21"/>
          <w:highlight w:val="none"/>
          <w:lang w:val="en-US" w:eastAsia="zh-CN"/>
        </w:rPr>
        <w:t>四</w:t>
      </w:r>
      <w:r>
        <w:rPr>
          <w:rFonts w:hint="eastAsia" w:ascii="仿宋" w:hAnsi="仿宋" w:eastAsia="仿宋" w:cs="仿宋"/>
          <w:color w:val="auto"/>
          <w:szCs w:val="21"/>
          <w:highlight w:val="none"/>
        </w:rPr>
        <w:t>章内容</w:t>
      </w:r>
    </w:p>
    <w:p w14:paraId="441743A4">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3.2 磋商报价</w:t>
      </w:r>
    </w:p>
    <w:p w14:paraId="2427CA0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3.2.1本项目的磋商报价方式：见供应商须知前附表。</w:t>
      </w:r>
    </w:p>
    <w:p w14:paraId="4684C457">
      <w:pPr>
        <w:spacing w:line="42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3.2.2</w:t>
      </w:r>
      <w:r>
        <w:rPr>
          <w:rFonts w:hint="eastAsia" w:ascii="仿宋" w:hAnsi="仿宋" w:eastAsia="仿宋" w:cs="仿宋"/>
          <w:b w:val="0"/>
          <w:bCs/>
          <w:color w:val="auto"/>
          <w:szCs w:val="21"/>
          <w:highlight w:val="none"/>
        </w:rPr>
        <w:t>本项目最高磋商限价：</w:t>
      </w:r>
      <w:r>
        <w:rPr>
          <w:rFonts w:hint="eastAsia" w:ascii="仿宋" w:hAnsi="仿宋" w:eastAsia="仿宋" w:cs="仿宋"/>
          <w:color w:val="auto"/>
          <w:szCs w:val="21"/>
          <w:highlight w:val="none"/>
        </w:rPr>
        <w:t>见供应商须知前附表</w:t>
      </w:r>
      <w:r>
        <w:rPr>
          <w:rFonts w:hint="eastAsia" w:ascii="仿宋" w:hAnsi="仿宋" w:eastAsia="仿宋" w:cs="仿宋"/>
          <w:color w:val="auto"/>
          <w:szCs w:val="21"/>
          <w:highlight w:val="none"/>
          <w:lang w:eastAsia="zh-CN"/>
        </w:rPr>
        <w:t xml:space="preserve">。 </w:t>
      </w:r>
    </w:p>
    <w:p w14:paraId="7A6D6FD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rPr>
        <w:t>报价本着合理的原则，本项目不保证最低标价一定中标（成交）。</w:t>
      </w:r>
    </w:p>
    <w:p w14:paraId="456E24F5">
      <w:pPr>
        <w:spacing w:line="360" w:lineRule="auto"/>
        <w:ind w:firstLine="420" w:firstLineChars="200"/>
        <w:rPr>
          <w:rFonts w:ascii="仿宋" w:hAnsi="仿宋" w:eastAsia="仿宋" w:cs="仿宋"/>
          <w:b w:val="0"/>
          <w:bCs/>
          <w:color w:val="auto"/>
          <w:szCs w:val="21"/>
          <w:highlight w:val="none"/>
        </w:rPr>
      </w:pPr>
      <w:r>
        <w:rPr>
          <w:rFonts w:hint="eastAsia" w:ascii="仿宋" w:hAnsi="仿宋" w:eastAsia="仿宋" w:cs="仿宋"/>
          <w:b w:val="0"/>
          <w:bCs/>
          <w:color w:val="auto"/>
          <w:szCs w:val="21"/>
          <w:highlight w:val="none"/>
        </w:rPr>
        <w:t>3.2.</w:t>
      </w:r>
      <w:r>
        <w:rPr>
          <w:rFonts w:hint="eastAsia" w:ascii="仿宋" w:hAnsi="仿宋" w:eastAsia="仿宋" w:cs="仿宋"/>
          <w:b w:val="0"/>
          <w:bCs/>
          <w:color w:val="auto"/>
          <w:szCs w:val="21"/>
          <w:highlight w:val="none"/>
          <w:lang w:val="en-US" w:eastAsia="zh-CN"/>
        </w:rPr>
        <w:t>4</w:t>
      </w:r>
      <w:r>
        <w:rPr>
          <w:rFonts w:hint="eastAsia" w:ascii="仿宋" w:hAnsi="仿宋" w:eastAsia="仿宋" w:cs="仿宋"/>
          <w:b w:val="0"/>
          <w:bCs/>
          <w:color w:val="auto"/>
          <w:szCs w:val="21"/>
          <w:highlight w:val="none"/>
        </w:rPr>
        <w:t>磋商报价的构成</w:t>
      </w:r>
    </w:p>
    <w:p w14:paraId="11F6F3F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的磋商报价，应是完成磋商文件采购范围、合同条款、工期等各项内容的全部。在合同实施期间不因市场变化因素而变动，供应商在计算报价时应考虑物价上涨、政策性调整及一般设计变更等诸多因素及由此引起的费用变动。</w:t>
      </w:r>
    </w:p>
    <w:p w14:paraId="5ED6952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w:t>
      </w:r>
      <w:r>
        <w:rPr>
          <w:rFonts w:hint="eastAsia" w:ascii="仿宋" w:hAnsi="仿宋" w:eastAsia="仿宋" w:cs="仿宋"/>
          <w:color w:val="auto"/>
          <w:szCs w:val="21"/>
          <w:highlight w:val="none"/>
          <w:lang w:val="en-US" w:eastAsia="zh-CN"/>
        </w:rPr>
        <w:t>5</w:t>
      </w:r>
      <w:r>
        <w:rPr>
          <w:rFonts w:hint="eastAsia" w:ascii="仿宋" w:hAnsi="仿宋" w:eastAsia="仿宋" w:cs="仿宋"/>
          <w:color w:val="auto"/>
          <w:szCs w:val="21"/>
          <w:highlight w:val="none"/>
        </w:rPr>
        <w:t>最后报价是供应商响应文件的有效组成部分，供应商必须对所参加项目内所有内容进行完整唯一报价，不得缺项、漏项、错项，否则按无效响应处理。</w:t>
      </w:r>
    </w:p>
    <w:p w14:paraId="52869B8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w:t>
      </w: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无论分项价格是否填报完全，供应商的最后报价将被视为已经包含了所有分项价格以及与项目相关的所有货物、工程或者服务费用。由于供应商分项报价填报不完整、不清楚或存在其它任何失误所导致的任何不利后果均由供应商自行承担。</w:t>
      </w:r>
    </w:p>
    <w:p w14:paraId="275D146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w:t>
      </w:r>
      <w:r>
        <w:rPr>
          <w:rFonts w:hint="eastAsia" w:ascii="仿宋" w:hAnsi="仿宋" w:eastAsia="仿宋" w:cs="仿宋"/>
          <w:color w:val="auto"/>
          <w:szCs w:val="21"/>
          <w:highlight w:val="none"/>
          <w:lang w:val="en-US" w:eastAsia="zh-CN"/>
        </w:rPr>
        <w:t>7</w:t>
      </w:r>
      <w:r>
        <w:rPr>
          <w:rFonts w:hint="eastAsia" w:ascii="仿宋" w:hAnsi="仿宋" w:eastAsia="仿宋" w:cs="仿宋"/>
          <w:color w:val="auto"/>
          <w:szCs w:val="21"/>
          <w:highlight w:val="none"/>
        </w:rPr>
        <w:t>最后报价文件应由法定代表人或其委托代理人签字，在规定的时间递交。若已递交的最后报价中出现含义不明确、同类问题表述不一致或者签署不完整、有明显文字和计算错误的，可以进行澄清、补充和修正，但不得改变响应文件中实质性内容。</w:t>
      </w:r>
    </w:p>
    <w:p w14:paraId="3C2DADF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w:t>
      </w: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供应商不得哄抬报价，也不应低于成本价（或进价）报价。磋商小组认为供应商的最后报价或者某些分项报价明显不合理或者低于成本，有可能影响服务质量和不能诚信履约的，将要求其在规定的期限内提供书面文件予以解释说明，并提交相关证明材料。供应商不能证明其报价合理性的，磋商小组将认定供应商响应文件无效。</w:t>
      </w:r>
    </w:p>
    <w:p w14:paraId="4D65922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w:t>
      </w:r>
      <w:r>
        <w:rPr>
          <w:rFonts w:hint="eastAsia" w:ascii="仿宋" w:hAnsi="仿宋" w:eastAsia="仿宋" w:cs="仿宋"/>
          <w:color w:val="auto"/>
          <w:szCs w:val="21"/>
          <w:highlight w:val="none"/>
          <w:lang w:val="en-US" w:eastAsia="zh-CN"/>
        </w:rPr>
        <w:t>9</w:t>
      </w:r>
      <w:r>
        <w:rPr>
          <w:rFonts w:hint="eastAsia" w:ascii="仿宋" w:hAnsi="仿宋" w:eastAsia="仿宋" w:cs="仿宋"/>
          <w:color w:val="auto"/>
          <w:szCs w:val="21"/>
          <w:highlight w:val="none"/>
        </w:rPr>
        <w:t>供应商应保证其提供的货物、工程或者服务在采购人使用期间不受第三方可能提出的侵犯其所有权、知识产权、商标权、专利权、著作权等相关权利的起诉。</w:t>
      </w:r>
    </w:p>
    <w:p w14:paraId="3205A19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3.2.1</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报价货币为人民币。</w:t>
      </w:r>
    </w:p>
    <w:p w14:paraId="0FF86DF2">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3.3 磋商有效期</w:t>
      </w:r>
    </w:p>
    <w:p w14:paraId="4CAC637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3.3.1磋商有效期为</w:t>
      </w:r>
      <w:r>
        <w:rPr>
          <w:rFonts w:hint="eastAsia" w:ascii="仿宋" w:hAnsi="仿宋" w:eastAsia="仿宋" w:cs="仿宋"/>
          <w:color w:val="auto"/>
          <w:szCs w:val="21"/>
          <w:highlight w:val="none"/>
          <w:u w:val="single"/>
        </w:rPr>
        <w:t>90</w:t>
      </w:r>
      <w:r>
        <w:rPr>
          <w:rFonts w:hint="eastAsia" w:ascii="仿宋" w:hAnsi="仿宋" w:eastAsia="仿宋" w:cs="仿宋"/>
          <w:color w:val="auto"/>
          <w:szCs w:val="21"/>
          <w:highlight w:val="none"/>
        </w:rPr>
        <w:t>日历天（从磋商截止之日算起），在此期限内，凡符合本竞争性磋商文件要求的响应文件均保持有效。</w:t>
      </w:r>
    </w:p>
    <w:p w14:paraId="215C57A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3.3.2出现特殊情况需要延长磋商有效期的，采购人以书面形式通知所有供应商延长磋商有效期。供应商同意延长的，应相应延长其磋商保证金的有效期，但不得要求或被允许修改或撤销其响应文件；供应商拒绝延长的，其竞争失效，但供应商有权收回其磋商保证金。</w:t>
      </w:r>
    </w:p>
    <w:p w14:paraId="668CEB34">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3.4 磋商保证金</w:t>
      </w:r>
    </w:p>
    <w:p w14:paraId="27F93826">
      <w:pPr>
        <w:spacing w:line="360" w:lineRule="auto"/>
        <w:ind w:firstLine="420" w:firstLineChars="200"/>
        <w:rPr>
          <w:rFonts w:ascii="仿宋" w:hAnsi="仿宋" w:eastAsia="仿宋" w:cs="仿宋"/>
          <w:b/>
          <w:color w:val="auto"/>
          <w:szCs w:val="21"/>
          <w:highlight w:val="none"/>
        </w:rPr>
      </w:pPr>
      <w:r>
        <w:rPr>
          <w:rFonts w:hint="eastAsia" w:ascii="仿宋" w:hAnsi="仿宋" w:eastAsia="仿宋" w:cs="仿宋"/>
          <w:color w:val="auto"/>
          <w:szCs w:val="21"/>
          <w:highlight w:val="none"/>
        </w:rPr>
        <w:t>3.4.1本项目不要求磋商保证金。</w:t>
      </w:r>
    </w:p>
    <w:p w14:paraId="04867648">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3.5 资格审查资料（适用于资格后审的）</w:t>
      </w:r>
    </w:p>
    <w:p w14:paraId="25F867F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3.5.1 “供应商一般情况表”应附供应商营业执照、财务报表等材料的复印件。</w:t>
      </w:r>
    </w:p>
    <w:p w14:paraId="5528D48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3.5.2 “类似业绩情况表” 应附业绩证明材料的复印件，具体年份要求见供应商须知前附表。</w:t>
      </w:r>
    </w:p>
    <w:p w14:paraId="6FB623C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3.5.3 “其他资料”应附与资格审查评审有关的其它资料及供应商认为需附的其他资料。</w:t>
      </w:r>
    </w:p>
    <w:p w14:paraId="3A6CFB49">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3.6 备选磋商方案</w:t>
      </w:r>
    </w:p>
    <w:p w14:paraId="2BFC00D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除供应商须知前附表另有规定外，供应商不得递交备选磋商方案。允许供应商递交备选磋商方案的，只有成交人所递交的备选磋商方案方可予以考虑。磋商小组认为成交人的备选磋商方案优于其按照竞争性磋商文件要求编制的磋商方案的，采购人可以接受该备选磋商方案。</w:t>
      </w:r>
    </w:p>
    <w:p w14:paraId="34A52C70">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3.7 响应文件的编制</w:t>
      </w:r>
    </w:p>
    <w:p w14:paraId="1621FEB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3.7.1 响应文件应按第</w:t>
      </w:r>
      <w:r>
        <w:rPr>
          <w:rFonts w:hint="eastAsia" w:ascii="仿宋" w:hAnsi="仿宋" w:eastAsia="仿宋" w:cs="仿宋"/>
          <w:color w:val="auto"/>
          <w:szCs w:val="21"/>
          <w:highlight w:val="none"/>
          <w:lang w:val="en-US" w:eastAsia="zh-CN"/>
        </w:rPr>
        <w:t>四</w:t>
      </w:r>
      <w:r>
        <w:rPr>
          <w:rFonts w:hint="eastAsia" w:ascii="仿宋" w:hAnsi="仿宋" w:eastAsia="仿宋" w:cs="仿宋"/>
          <w:color w:val="auto"/>
          <w:szCs w:val="21"/>
          <w:highlight w:val="none"/>
        </w:rPr>
        <w:t>章“响应文件格式”进行编写，如有必要，可以增加附页，作为响应文件的组成部分。其中，供应商承诺在满足竞争性磋商文件实质性要求的基础上，可以提出比竞争性磋商文件要求更有利于采购人的承诺。</w:t>
      </w:r>
    </w:p>
    <w:p w14:paraId="57828D7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3.7.2 响应文件应当对竞争性磋商文件有关工作时限、磋商有效期、质量要求、竞争性磋商范围等实质性内容作出响应。</w:t>
      </w:r>
    </w:p>
    <w:p w14:paraId="4696F406">
      <w:pPr>
        <w:spacing w:line="360" w:lineRule="auto"/>
        <w:ind w:firstLine="420" w:firstLineChars="200"/>
        <w:rPr>
          <w:rFonts w:ascii="仿宋" w:hAnsi="仿宋" w:eastAsia="仿宋" w:cs="仿宋"/>
          <w:b/>
          <w:color w:val="auto"/>
          <w:szCs w:val="21"/>
          <w:highlight w:val="none"/>
        </w:rPr>
      </w:pPr>
      <w:r>
        <w:rPr>
          <w:rFonts w:hint="eastAsia" w:ascii="仿宋" w:hAnsi="仿宋" w:eastAsia="仿宋" w:cs="仿宋"/>
          <w:color w:val="auto"/>
          <w:szCs w:val="21"/>
          <w:highlight w:val="none"/>
        </w:rPr>
        <w:t>3.7.3 响应文件应用不褪色的材料书写或打印，并由供应商加盖单位公章并由其法定代表人或其委托代理人签字或盖章。委托代理人签字或盖章的，响应文件应附法定代表人签署的授权委托书。响应文件应尽量避免涂改、行间插字或删除。如果出现上述情况，改动之处应加盖单位公章并由供应商的法定代表人或其委托代理人签字或盖章确认。签字或盖章的具体要求见供应商须知前附表。</w:t>
      </w:r>
    </w:p>
    <w:p w14:paraId="62406F05">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3.7.4 响应文件正本壹份，副本份数见供应商须知前附表。正本和副本的封面上应清楚地标记“正本”或“副本”的字样。当副本和正本不一致时，以正本为准。</w:t>
      </w:r>
    </w:p>
    <w:p w14:paraId="66F05F4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3.7.5 响应文件的正本与副本应分别装订成册，并编制目录，具体装订要求见供应商须知前附表规定。</w:t>
      </w:r>
    </w:p>
    <w:p w14:paraId="26C573A9">
      <w:pPr>
        <w:pStyle w:val="5"/>
        <w:numPr>
          <w:ilvl w:val="2"/>
          <w:numId w:val="0"/>
        </w:numPr>
        <w:spacing w:before="0" w:after="0"/>
        <w:ind w:left="1588" w:hanging="737"/>
        <w:rPr>
          <w:rFonts w:ascii="仿宋" w:hAnsi="仿宋" w:eastAsia="仿宋" w:cs="仿宋"/>
          <w:color w:val="auto"/>
          <w:szCs w:val="24"/>
          <w:highlight w:val="none"/>
        </w:rPr>
      </w:pPr>
      <w:bookmarkStart w:id="77" w:name="_Toc420598315"/>
      <w:bookmarkStart w:id="78" w:name="_Toc371606502"/>
      <w:bookmarkStart w:id="79" w:name="_Toc350614793"/>
      <w:bookmarkStart w:id="80" w:name="_Toc420429871"/>
      <w:bookmarkStart w:id="81" w:name="_Toc27959"/>
      <w:r>
        <w:rPr>
          <w:rFonts w:hint="eastAsia" w:ascii="仿宋" w:hAnsi="仿宋" w:eastAsia="仿宋" w:cs="仿宋"/>
          <w:color w:val="auto"/>
          <w:szCs w:val="24"/>
          <w:highlight w:val="none"/>
        </w:rPr>
        <w:t xml:space="preserve">4. </w:t>
      </w:r>
      <w:bookmarkEnd w:id="77"/>
      <w:bookmarkEnd w:id="78"/>
      <w:bookmarkEnd w:id="79"/>
      <w:bookmarkEnd w:id="80"/>
      <w:r>
        <w:rPr>
          <w:rFonts w:hint="eastAsia" w:ascii="仿宋" w:hAnsi="仿宋" w:eastAsia="仿宋" w:cs="仿宋"/>
          <w:color w:val="auto"/>
          <w:szCs w:val="24"/>
          <w:highlight w:val="none"/>
        </w:rPr>
        <w:t>响应文件的密封与递交</w:t>
      </w:r>
      <w:bookmarkEnd w:id="81"/>
    </w:p>
    <w:p w14:paraId="442339AF">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4.1 响应文件的密封和标记</w:t>
      </w:r>
    </w:p>
    <w:p w14:paraId="79BD12B7">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4.1.1响应文件的正本与副本应一同包装，并在封套的封口处加盖密封章或公章，封套上应写明的其他内容见供应商须知前附表。</w:t>
      </w:r>
    </w:p>
    <w:p w14:paraId="3B629664">
      <w:pPr>
        <w:spacing w:line="360" w:lineRule="auto"/>
        <w:ind w:firstLine="424" w:firstLineChars="201"/>
        <w:rPr>
          <w:rFonts w:ascii="仿宋" w:hAnsi="仿宋" w:eastAsia="仿宋" w:cs="仿宋"/>
          <w:b/>
          <w:color w:val="auto"/>
          <w:szCs w:val="21"/>
          <w:highlight w:val="none"/>
        </w:rPr>
      </w:pPr>
      <w:r>
        <w:rPr>
          <w:rFonts w:hint="eastAsia" w:ascii="仿宋" w:hAnsi="仿宋" w:eastAsia="仿宋" w:cs="仿宋"/>
          <w:b/>
          <w:color w:val="auto"/>
          <w:szCs w:val="21"/>
          <w:highlight w:val="none"/>
        </w:rPr>
        <w:t>响应文件电子文档密封方式：与响应文件正、副本封装在一个封套内。</w:t>
      </w:r>
    </w:p>
    <w:p w14:paraId="63887A5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4.1.2未按本章第4.1.1 项要求密封和加写标记的响应文件，采购人不予受理。</w:t>
      </w:r>
    </w:p>
    <w:p w14:paraId="2B1FBF84">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4.2 响应文件的递交</w:t>
      </w:r>
    </w:p>
    <w:p w14:paraId="33114E1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4.2.1 供应商应在规定的磋商截止时间前及地点递交响应文件。</w:t>
      </w:r>
    </w:p>
    <w:p w14:paraId="213F1B3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4.2.2除供应商须知前附表另有规定外，供应商所递交的响应文件不予退还。</w:t>
      </w:r>
    </w:p>
    <w:p w14:paraId="7A0606CB">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4.2.3采购人收到响应文件后，向供应商出具签收凭证。</w:t>
      </w:r>
    </w:p>
    <w:p w14:paraId="4CDF298D">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4.2.4逾期送达的或者未送达指定地点的响应文件，采购人不予受理。</w:t>
      </w:r>
    </w:p>
    <w:p w14:paraId="212AFD78">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4.3 响应文件的修改与撤回</w:t>
      </w:r>
    </w:p>
    <w:p w14:paraId="719D503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4.3.1 在规定的磋商截止时间前，供应商可以修改或撤回已递交的响应文件，但应以书面形式通知采购人。</w:t>
      </w:r>
    </w:p>
    <w:p w14:paraId="0F245F8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4.3.2 供应商修改或撤回已递交响应文件的书面通知应按照本章第3.7.3 项的要求签字或盖章。采购人收到书面通知后，向供应商出具签收凭证。</w:t>
      </w:r>
    </w:p>
    <w:p w14:paraId="223ECE2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4.3.3 修改的内容为响应文件的组成部分。修改的响应文件应按照本章第3 款、第4 款规定进行编制、密封、标记和递交，并标明“修改”字样。</w:t>
      </w:r>
      <w:bookmarkStart w:id="82" w:name="_Toc420429872"/>
      <w:bookmarkStart w:id="83" w:name="_Toc420598316"/>
      <w:bookmarkStart w:id="84" w:name="_Toc350614794"/>
      <w:bookmarkStart w:id="85" w:name="_Toc371606503"/>
    </w:p>
    <w:p w14:paraId="462C3064">
      <w:pPr>
        <w:pStyle w:val="5"/>
        <w:numPr>
          <w:ilvl w:val="2"/>
          <w:numId w:val="0"/>
        </w:numPr>
        <w:spacing w:before="0" w:after="0"/>
        <w:ind w:left="1588" w:hanging="737"/>
        <w:rPr>
          <w:rFonts w:ascii="仿宋" w:hAnsi="仿宋" w:eastAsia="仿宋" w:cs="仿宋"/>
          <w:color w:val="auto"/>
          <w:szCs w:val="24"/>
          <w:highlight w:val="none"/>
        </w:rPr>
      </w:pPr>
      <w:r>
        <w:rPr>
          <w:rFonts w:hint="eastAsia" w:ascii="仿宋" w:hAnsi="仿宋" w:eastAsia="仿宋" w:cs="仿宋"/>
          <w:color w:val="auto"/>
          <w:szCs w:val="24"/>
          <w:highlight w:val="none"/>
        </w:rPr>
        <w:t>5. 磋商</w:t>
      </w:r>
      <w:bookmarkEnd w:id="82"/>
      <w:bookmarkEnd w:id="83"/>
      <w:bookmarkEnd w:id="84"/>
      <w:bookmarkEnd w:id="85"/>
      <w:r>
        <w:rPr>
          <w:rFonts w:hint="eastAsia" w:ascii="仿宋" w:hAnsi="仿宋" w:eastAsia="仿宋" w:cs="仿宋"/>
          <w:color w:val="auto"/>
          <w:szCs w:val="24"/>
          <w:highlight w:val="none"/>
        </w:rPr>
        <w:t>时间、地点</w:t>
      </w:r>
    </w:p>
    <w:p w14:paraId="3E2CE30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 xml:space="preserve">5.1 </w:t>
      </w:r>
      <w:r>
        <w:rPr>
          <w:rFonts w:hint="eastAsia" w:ascii="仿宋" w:hAnsi="仿宋" w:eastAsia="仿宋" w:cs="仿宋"/>
          <w:color w:val="auto"/>
          <w:szCs w:val="21"/>
          <w:highlight w:val="none"/>
        </w:rPr>
        <w:t>采购人在本章第4.2.1 项规定的磋商截止时间（磋商时间）和地点磋商，并邀请所有供应商的法定代表人或其委托代理人准时参加。</w:t>
      </w:r>
    </w:p>
    <w:p w14:paraId="194DD578">
      <w:pPr>
        <w:pStyle w:val="5"/>
        <w:numPr>
          <w:ilvl w:val="2"/>
          <w:numId w:val="0"/>
        </w:numPr>
        <w:spacing w:before="0" w:after="0"/>
        <w:ind w:left="1588" w:hanging="737"/>
        <w:rPr>
          <w:rFonts w:ascii="仿宋" w:hAnsi="仿宋" w:eastAsia="仿宋" w:cs="仿宋"/>
          <w:color w:val="auto"/>
          <w:szCs w:val="24"/>
          <w:highlight w:val="none"/>
        </w:rPr>
      </w:pPr>
      <w:bookmarkStart w:id="86" w:name="_Toc420598317"/>
      <w:bookmarkStart w:id="87" w:name="_Toc371606504"/>
      <w:bookmarkStart w:id="88" w:name="_Toc350614795"/>
      <w:bookmarkStart w:id="89" w:name="_Toc420429873"/>
      <w:r>
        <w:rPr>
          <w:rFonts w:hint="eastAsia" w:ascii="仿宋" w:hAnsi="仿宋" w:eastAsia="仿宋" w:cs="仿宋"/>
          <w:color w:val="auto"/>
          <w:szCs w:val="24"/>
          <w:highlight w:val="none"/>
        </w:rPr>
        <w:t>6. 磋商</w:t>
      </w:r>
      <w:bookmarkEnd w:id="86"/>
      <w:bookmarkEnd w:id="87"/>
      <w:bookmarkEnd w:id="88"/>
      <w:bookmarkEnd w:id="89"/>
    </w:p>
    <w:p w14:paraId="3371A87E">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6.1 磋商小组</w:t>
      </w:r>
    </w:p>
    <w:p w14:paraId="7F915637">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6.1.1磋商由采购人依法组建的磋商小组负责。磋商小组成员人数以及技术、经济等方面专家的确定方式见供应商须知前附表。</w:t>
      </w:r>
    </w:p>
    <w:p w14:paraId="7136E034">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6.1.2磋商小组成员有下列情形之一的，应当回避：</w:t>
      </w:r>
    </w:p>
    <w:p w14:paraId="27DD370A">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(1)采购人或供应商的主要负责人的近亲属；</w:t>
      </w:r>
    </w:p>
    <w:p w14:paraId="46BA8B28">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(2)项目主管部门或者行政监督部门的人员；</w:t>
      </w:r>
    </w:p>
    <w:p w14:paraId="08282925">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(3)与供应商有经济利益关系，可能影响对磋商公正评审的；</w:t>
      </w:r>
    </w:p>
    <w:p w14:paraId="2F09DE39">
      <w:pPr>
        <w:spacing w:line="360" w:lineRule="auto"/>
        <w:ind w:firstLine="464" w:firstLineChars="221"/>
        <w:rPr>
          <w:rFonts w:ascii="仿宋" w:hAnsi="仿宋" w:eastAsia="仿宋" w:cs="仿宋"/>
          <w:color w:val="auto"/>
          <w:szCs w:val="21"/>
          <w:highlight w:val="none"/>
        </w:rPr>
      </w:pPr>
      <w:r>
        <w:rPr>
          <w:rFonts w:hint="eastAsia" w:ascii="仿宋" w:hAnsi="仿宋" w:eastAsia="仿宋" w:cs="仿宋"/>
          <w:color w:val="auto"/>
          <w:szCs w:val="21"/>
          <w:highlight w:val="none"/>
        </w:rPr>
        <w:t>(4)曾因在招标、磋商以及其他与招标投标有关活动中从事违法行为而受过行政处罚或刑事处罚的。</w:t>
      </w:r>
    </w:p>
    <w:p w14:paraId="6A49B52A">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6.2 磋商原则</w:t>
      </w:r>
    </w:p>
    <w:p w14:paraId="3B40849B">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磋商活动遵循公平、公正、科学、择优的原则。</w:t>
      </w:r>
    </w:p>
    <w:p w14:paraId="58054C3F">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6.3 磋商</w:t>
      </w:r>
    </w:p>
    <w:p w14:paraId="2F4CDC3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磋商小组按照第</w:t>
      </w:r>
      <w:r>
        <w:rPr>
          <w:rFonts w:hint="eastAsia" w:ascii="仿宋" w:hAnsi="仿宋" w:eastAsia="仿宋" w:cs="仿宋"/>
          <w:color w:val="auto"/>
          <w:szCs w:val="21"/>
          <w:highlight w:val="none"/>
          <w:lang w:val="en-US" w:eastAsia="zh-CN"/>
        </w:rPr>
        <w:t>六</w:t>
      </w:r>
      <w:r>
        <w:rPr>
          <w:rFonts w:hint="eastAsia" w:ascii="仿宋" w:hAnsi="仿宋" w:eastAsia="仿宋" w:cs="仿宋"/>
          <w:color w:val="auto"/>
          <w:szCs w:val="21"/>
          <w:highlight w:val="none"/>
        </w:rPr>
        <w:t>章“评审办法”规定的方法、评审因素、标准和程序对响应文件进行评审。第</w:t>
      </w:r>
      <w:r>
        <w:rPr>
          <w:rFonts w:hint="eastAsia" w:ascii="仿宋" w:hAnsi="仿宋" w:eastAsia="仿宋" w:cs="仿宋"/>
          <w:color w:val="auto"/>
          <w:szCs w:val="21"/>
          <w:highlight w:val="none"/>
          <w:lang w:val="en-US" w:eastAsia="zh-CN"/>
        </w:rPr>
        <w:t>六</w:t>
      </w:r>
      <w:r>
        <w:rPr>
          <w:rFonts w:hint="eastAsia" w:ascii="仿宋" w:hAnsi="仿宋" w:eastAsia="仿宋" w:cs="仿宋"/>
          <w:color w:val="auto"/>
          <w:szCs w:val="21"/>
          <w:highlight w:val="none"/>
        </w:rPr>
        <w:t>章“评审办法”没有规定的方法、评审因素和标准，不作为磋商依据。</w:t>
      </w:r>
    </w:p>
    <w:p w14:paraId="620CDAEE">
      <w:pPr>
        <w:pStyle w:val="5"/>
        <w:numPr>
          <w:ilvl w:val="2"/>
          <w:numId w:val="0"/>
        </w:numPr>
        <w:spacing w:before="0" w:after="0"/>
        <w:ind w:left="1588" w:hanging="737"/>
        <w:rPr>
          <w:rFonts w:ascii="仿宋" w:hAnsi="仿宋" w:eastAsia="仿宋" w:cs="仿宋"/>
          <w:color w:val="auto"/>
          <w:szCs w:val="24"/>
          <w:highlight w:val="none"/>
        </w:rPr>
      </w:pPr>
      <w:bookmarkStart w:id="90" w:name="_Toc26111"/>
      <w:bookmarkStart w:id="91" w:name="_Toc420598318"/>
      <w:bookmarkStart w:id="92" w:name="_Toc350614796"/>
      <w:bookmarkStart w:id="93" w:name="_Toc371606505"/>
      <w:bookmarkStart w:id="94" w:name="_Toc420429874"/>
      <w:r>
        <w:rPr>
          <w:rFonts w:hint="eastAsia" w:ascii="仿宋" w:hAnsi="仿宋" w:eastAsia="仿宋" w:cs="仿宋"/>
          <w:color w:val="auto"/>
          <w:szCs w:val="24"/>
          <w:highlight w:val="none"/>
        </w:rPr>
        <w:t>7. 合同授予</w:t>
      </w:r>
      <w:bookmarkEnd w:id="90"/>
      <w:bookmarkEnd w:id="91"/>
      <w:bookmarkEnd w:id="92"/>
      <w:bookmarkEnd w:id="93"/>
      <w:bookmarkEnd w:id="94"/>
    </w:p>
    <w:p w14:paraId="0926D4B6">
      <w:pPr>
        <w:pStyle w:val="6"/>
        <w:spacing w:line="360" w:lineRule="auto"/>
        <w:rPr>
          <w:rFonts w:hint="default" w:ascii="仿宋" w:hAnsi="仿宋" w:eastAsia="仿宋" w:cs="仿宋"/>
          <w:color w:val="auto"/>
          <w:sz w:val="21"/>
          <w:szCs w:val="21"/>
          <w:highlight w:val="none"/>
        </w:rPr>
      </w:pPr>
      <w:r>
        <w:rPr>
          <w:rFonts w:hint="eastAsia" w:ascii="仿宋" w:hAnsi="仿宋" w:eastAsia="仿宋" w:cs="仿宋"/>
          <w:color w:val="auto"/>
          <w:sz w:val="21"/>
          <w:szCs w:val="21"/>
          <w:highlight w:val="none"/>
        </w:rPr>
        <w:t>7.1成交供应商的确定</w:t>
      </w:r>
      <w:r>
        <w:rPr>
          <w:rFonts w:hint="eastAsia" w:ascii="仿宋" w:hAnsi="仿宋" w:eastAsia="仿宋" w:cs="仿宋"/>
          <w:color w:val="auto"/>
          <w:sz w:val="21"/>
          <w:szCs w:val="21"/>
          <w:highlight w:val="none"/>
          <w:lang w:val="en-US" w:eastAsia="zh-CN"/>
        </w:rPr>
        <w:t xml:space="preserve">  </w:t>
      </w:r>
    </w:p>
    <w:p w14:paraId="42FD4F99">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7.1.1 在评审结束后二个工作日内将评审报告送采购人确认。</w:t>
      </w:r>
    </w:p>
    <w:p w14:paraId="23F7C57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7.1.2 采购人在</w:t>
      </w:r>
      <w:r>
        <w:rPr>
          <w:rFonts w:hint="eastAsia" w:ascii="仿宋" w:hAnsi="仿宋" w:eastAsia="仿宋" w:cs="仿宋"/>
          <w:color w:val="auto"/>
          <w:szCs w:val="21"/>
          <w:highlight w:val="none"/>
          <w:lang w:val="en-US" w:eastAsia="zh-CN"/>
        </w:rPr>
        <w:t>确定评审报告</w:t>
      </w:r>
      <w:r>
        <w:rPr>
          <w:rFonts w:hint="eastAsia" w:ascii="仿宋" w:hAnsi="仿宋" w:eastAsia="仿宋" w:cs="仿宋"/>
          <w:color w:val="auto"/>
          <w:szCs w:val="21"/>
          <w:highlight w:val="none"/>
        </w:rPr>
        <w:t>后五个工作日内，按照评审报告中推荐的成交候选人顺序确定成交人。</w:t>
      </w:r>
    </w:p>
    <w:p w14:paraId="4490951B">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7.2 成交通知书</w:t>
      </w:r>
    </w:p>
    <w:p w14:paraId="7F3AB04C">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7.2.1成交人确定后，成交结果由</w:t>
      </w:r>
      <w:r>
        <w:rPr>
          <w:rFonts w:hint="eastAsia" w:ascii="仿宋" w:hAnsi="仿宋" w:eastAsia="仿宋" w:cs="仿宋"/>
          <w:strike w:val="0"/>
          <w:color w:val="auto"/>
          <w:szCs w:val="21"/>
          <w:highlight w:val="none"/>
          <w:lang w:val="en-US" w:eastAsia="zh-CN"/>
        </w:rPr>
        <w:t>采购人</w:t>
      </w:r>
      <w:r>
        <w:rPr>
          <w:rFonts w:hint="eastAsia" w:ascii="仿宋" w:hAnsi="仿宋" w:eastAsia="仿宋" w:cs="仿宋"/>
          <w:color w:val="auto"/>
          <w:szCs w:val="21"/>
          <w:highlight w:val="none"/>
        </w:rPr>
        <w:t>在</w:t>
      </w:r>
      <w:r>
        <w:rPr>
          <w:rFonts w:hint="eastAsia" w:ascii="仿宋" w:hAnsi="仿宋" w:eastAsia="仿宋" w:cs="仿宋"/>
          <w:strike w:val="0"/>
          <w:color w:val="auto"/>
          <w:szCs w:val="21"/>
          <w:highlight w:val="none"/>
          <w:lang w:val="en-US" w:eastAsia="zh-CN"/>
        </w:rPr>
        <w:t>滇中新区门户网站上</w:t>
      </w:r>
      <w:r>
        <w:rPr>
          <w:rFonts w:hint="eastAsia" w:ascii="仿宋" w:hAnsi="仿宋" w:eastAsia="仿宋" w:cs="仿宋"/>
          <w:color w:val="auto"/>
          <w:szCs w:val="21"/>
          <w:highlight w:val="none"/>
        </w:rPr>
        <w:t>发布等媒体上公告，公示时间为1个工作日，公示期满同时向成交人发出成交通知书。</w:t>
      </w:r>
    </w:p>
    <w:p w14:paraId="4760BE6F">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7.2.2 成交通知书是合同的一个组成部分。</w:t>
      </w:r>
    </w:p>
    <w:p w14:paraId="18303688">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7.3合同的签订</w:t>
      </w:r>
    </w:p>
    <w:p w14:paraId="3562E6CA">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7.3.1采购人和成交人应当自成交通知书发出之日起30天内，根据竞争性磋商文件和成交人的响应文件订立书面合同。成交人无正当理由拒签合同的，采购人取消其成交资格，其磋商保证金不予退还；给采购人造成的损失超过磋商保证金数额的，成交人还应当对超过部分予以赔偿。</w:t>
      </w:r>
    </w:p>
    <w:p w14:paraId="121966C5">
      <w:pPr>
        <w:spacing w:line="360" w:lineRule="auto"/>
        <w:ind w:firstLine="472" w:firstLineChars="225"/>
        <w:rPr>
          <w:rFonts w:hint="eastAsia" w:ascii="仿宋" w:hAnsi="仿宋" w:eastAsia="仿宋" w:cs="仿宋"/>
          <w:color w:val="auto"/>
          <w:szCs w:val="21"/>
          <w:highlight w:val="none"/>
        </w:rPr>
      </w:pPr>
      <w:r>
        <w:rPr>
          <w:rFonts w:hint="eastAsia" w:ascii="仿宋" w:hAnsi="仿宋" w:eastAsia="仿宋" w:cs="仿宋"/>
          <w:color w:val="auto"/>
          <w:szCs w:val="21"/>
          <w:highlight w:val="none"/>
        </w:rPr>
        <w:t>7.3.2发出成交通知书后，采购人无正当理由拒签合同的，采购人向成交人退还磋商保证金；给成交人造成损失的，还应当赔偿损失。</w:t>
      </w:r>
    </w:p>
    <w:p w14:paraId="34A6F6D6">
      <w:pPr>
        <w:pStyle w:val="2"/>
        <w:ind w:firstLine="420" w:firstLineChars="200"/>
        <w:rPr>
          <w:rFonts w:hint="default" w:eastAsia="仿宋"/>
          <w:lang w:val="en-US" w:eastAsia="zh-CN"/>
        </w:rPr>
      </w:pPr>
      <w:r>
        <w:rPr>
          <w:rFonts w:hint="eastAsia" w:ascii="仿宋" w:hAnsi="仿宋" w:eastAsia="仿宋" w:cs="仿宋"/>
          <w:color w:val="auto"/>
          <w:szCs w:val="21"/>
          <w:highlight w:val="none"/>
          <w:lang w:val="en-US" w:eastAsia="zh-CN"/>
        </w:rPr>
        <w:t>7.3.3履约保证金：无要求。</w:t>
      </w:r>
    </w:p>
    <w:p w14:paraId="5C057A9B">
      <w:pPr>
        <w:pStyle w:val="5"/>
        <w:numPr>
          <w:ilvl w:val="2"/>
          <w:numId w:val="0"/>
        </w:numPr>
        <w:spacing w:before="0" w:after="0"/>
        <w:ind w:left="1588" w:hanging="737"/>
        <w:rPr>
          <w:rFonts w:hint="default" w:ascii="仿宋" w:hAnsi="仿宋" w:eastAsia="仿宋" w:cs="仿宋"/>
          <w:color w:val="auto"/>
          <w:szCs w:val="24"/>
          <w:highlight w:val="none"/>
        </w:rPr>
      </w:pPr>
      <w:bookmarkStart w:id="95" w:name="_Toc491888651"/>
      <w:bookmarkStart w:id="96" w:name="_Toc8223"/>
      <w:r>
        <w:rPr>
          <w:rFonts w:hint="eastAsia" w:ascii="仿宋" w:hAnsi="仿宋" w:eastAsia="仿宋" w:cs="仿宋"/>
          <w:color w:val="auto"/>
          <w:szCs w:val="24"/>
          <w:highlight w:val="none"/>
        </w:rPr>
        <w:t>8. 重新采购和不再</w:t>
      </w:r>
      <w:bookmarkEnd w:id="95"/>
      <w:r>
        <w:rPr>
          <w:rFonts w:hint="eastAsia" w:ascii="仿宋" w:hAnsi="仿宋" w:eastAsia="仿宋" w:cs="仿宋"/>
          <w:color w:val="auto"/>
          <w:szCs w:val="24"/>
          <w:highlight w:val="none"/>
        </w:rPr>
        <w:t>采购</w:t>
      </w:r>
      <w:bookmarkEnd w:id="96"/>
      <w:r>
        <w:rPr>
          <w:rFonts w:hint="eastAsia" w:ascii="仿宋" w:hAnsi="仿宋" w:eastAsia="仿宋" w:cs="仿宋"/>
          <w:color w:val="auto"/>
          <w:szCs w:val="24"/>
          <w:highlight w:val="none"/>
          <w:lang w:val="en-US" w:eastAsia="zh-CN"/>
        </w:rPr>
        <w:t xml:space="preserve">  </w:t>
      </w:r>
    </w:p>
    <w:p w14:paraId="1E1E7387">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有下列情形之一的，采购人将重新招标：</w:t>
      </w:r>
    </w:p>
    <w:p w14:paraId="2C7FEA29">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（1）磋商截止时间止，供应商少于3个的；</w:t>
      </w:r>
    </w:p>
    <w:p w14:paraId="0DFF7080">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（2）经磋商小组评审后否决所有供应商的。</w:t>
      </w:r>
    </w:p>
    <w:p w14:paraId="31E6FCD8">
      <w:pPr>
        <w:pStyle w:val="5"/>
        <w:numPr>
          <w:ilvl w:val="2"/>
          <w:numId w:val="0"/>
        </w:numPr>
        <w:spacing w:before="0" w:after="0"/>
        <w:ind w:left="1588" w:hanging="737"/>
        <w:rPr>
          <w:rFonts w:ascii="仿宋" w:hAnsi="仿宋" w:eastAsia="仿宋" w:cs="仿宋"/>
          <w:color w:val="auto"/>
          <w:szCs w:val="24"/>
          <w:highlight w:val="none"/>
        </w:rPr>
      </w:pPr>
      <w:bookmarkStart w:id="97" w:name="_Toc491888652"/>
      <w:bookmarkStart w:id="98" w:name="_Toc184635079"/>
      <w:bookmarkStart w:id="99" w:name="_Toc32389"/>
      <w:r>
        <w:rPr>
          <w:rFonts w:hint="eastAsia" w:ascii="仿宋" w:hAnsi="仿宋" w:eastAsia="仿宋" w:cs="仿宋"/>
          <w:color w:val="auto"/>
          <w:szCs w:val="24"/>
          <w:highlight w:val="none"/>
        </w:rPr>
        <w:t>9. 纪律和监督</w:t>
      </w:r>
      <w:bookmarkEnd w:id="97"/>
      <w:bookmarkEnd w:id="98"/>
      <w:bookmarkEnd w:id="99"/>
      <w:r>
        <w:rPr>
          <w:rFonts w:hint="eastAsia" w:ascii="仿宋" w:hAnsi="仿宋" w:eastAsia="仿宋" w:cs="仿宋"/>
          <w:color w:val="auto"/>
          <w:szCs w:val="24"/>
          <w:highlight w:val="none"/>
          <w:lang w:val="en-US" w:eastAsia="zh-CN"/>
        </w:rPr>
        <w:t xml:space="preserve">  </w:t>
      </w:r>
    </w:p>
    <w:p w14:paraId="5368CC42">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9.1 对采购人的纪律要求</w:t>
      </w:r>
    </w:p>
    <w:p w14:paraId="34C8827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采购人不得泄漏招标投标活动中应当保密的情况和资料，不得与供应商串通损害国家利益、社会公共利益或者他人合法权益。</w:t>
      </w:r>
    </w:p>
    <w:p w14:paraId="5B77C118">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9.2 对供应商的纪律要求</w:t>
      </w:r>
    </w:p>
    <w:p w14:paraId="61D0ED4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供应商不得相互串通竞争或者与采购人串通磋商，不得向采购人或者磋商小组成员行贿谋取成交，不得以他人名义投标或者以其他方式弄虚作假骗取成交；供应商不得以任何方式干扰、影响磋商工作。</w:t>
      </w:r>
    </w:p>
    <w:p w14:paraId="0651230A">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9.3 对磋商小组成员的纪律要求</w:t>
      </w:r>
    </w:p>
    <w:p w14:paraId="1933545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磋商小组成员不得收受他人的财物或者其他好处，不得向他人透漏对响应文件的评审和比较、成交候选人的推荐情况以及磋商有关的其他情况。在磋商活动中，磋商小组成员不得擅离职守，影响磋商程序正常进行，不得使用第</w:t>
      </w:r>
      <w:r>
        <w:rPr>
          <w:rFonts w:hint="eastAsia" w:ascii="仿宋" w:hAnsi="仿宋" w:eastAsia="仿宋" w:cs="仿宋"/>
          <w:color w:val="auto"/>
          <w:szCs w:val="21"/>
          <w:highlight w:val="none"/>
          <w:lang w:val="en-US" w:eastAsia="zh-CN"/>
        </w:rPr>
        <w:t>六</w:t>
      </w:r>
      <w:r>
        <w:rPr>
          <w:rFonts w:hint="eastAsia" w:ascii="仿宋" w:hAnsi="仿宋" w:eastAsia="仿宋" w:cs="仿宋"/>
          <w:color w:val="auto"/>
          <w:szCs w:val="21"/>
          <w:highlight w:val="none"/>
        </w:rPr>
        <w:t>章“评审办法”没有规定的评审因素和标准进行评审。</w:t>
      </w:r>
    </w:p>
    <w:p w14:paraId="3E1A728E">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9.4 对与磋商活动有关的工作人员的纪律要求</w:t>
      </w:r>
    </w:p>
    <w:p w14:paraId="4F247D4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14:paraId="2AFE0CBE">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9.5 投诉</w:t>
      </w:r>
    </w:p>
    <w:p w14:paraId="4531BE5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供应商和其他利害关系人认为本次磋商活动违反法律、法规和规章规定的，按相关法律法规执行。</w:t>
      </w:r>
    </w:p>
    <w:p w14:paraId="30031453">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9.6询问与答复</w:t>
      </w:r>
    </w:p>
    <w:p w14:paraId="52868C7A">
      <w:pPr>
        <w:spacing w:line="240" w:lineRule="auto"/>
        <w:ind w:firstLine="0" w:firstLineChars="0"/>
        <w:rPr>
          <w:rFonts w:ascii="仿宋" w:hAnsi="仿宋" w:eastAsia="仿宋" w:cs="仿宋"/>
          <w:color w:val="auto"/>
          <w:szCs w:val="21"/>
          <w:highlight w:val="none"/>
        </w:rPr>
      </w:pPr>
      <w:r>
        <w:rPr>
          <w:rFonts w:hint="eastAsia" w:ascii="仿宋" w:hAnsi="仿宋" w:eastAsia="仿宋" w:cs="仿宋"/>
          <w:color w:val="auto"/>
          <w:szCs w:val="21"/>
          <w:highlight w:val="none"/>
        </w:rPr>
        <w:t>供应商对政府采购活动事项有疑问的，可以向采购人提出询问，采购人应当及时作出答复，但答复的内容不得涉及商业秘密。采购人应当在</w:t>
      </w:r>
      <w:r>
        <w:rPr>
          <w:rFonts w:hint="eastAsia" w:ascii="仿宋" w:hAnsi="仿宋" w:eastAsia="仿宋" w:cs="仿宋"/>
          <w:color w:val="auto"/>
          <w:szCs w:val="21"/>
          <w:highlight w:val="none"/>
          <w:u w:val="none"/>
        </w:rPr>
        <w:t>24 小时</w:t>
      </w:r>
      <w:r>
        <w:rPr>
          <w:rFonts w:hint="eastAsia" w:ascii="仿宋" w:hAnsi="仿宋" w:eastAsia="仿宋" w:cs="仿宋"/>
          <w:color w:val="auto"/>
          <w:szCs w:val="21"/>
          <w:highlight w:val="none"/>
        </w:rPr>
        <w:t>内对供应商依法提出的询问作出答复。</w:t>
      </w:r>
    </w:p>
    <w:p w14:paraId="10BFCBFC">
      <w:pPr>
        <w:pStyle w:val="6"/>
        <w:spacing w:line="36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9.7质疑接收、回复</w:t>
      </w:r>
    </w:p>
    <w:p w14:paraId="2ECD8DF6">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9.7.1 质疑接收</w:t>
      </w:r>
    </w:p>
    <w:p w14:paraId="3DC3BCE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9.7.1 .1供应商认为竞争性磋商文件、磋商过程和成交结果使自己的权益受到损害的，可以根据《中华人民共和国政府采购法》、《中华人民共和国政府采购法实施条例》和《政府采购质疑和投诉办法》的有关规定，依法向采购人提出质疑。</w:t>
      </w:r>
    </w:p>
    <w:p w14:paraId="5C88575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 7.1.2 质疑供应商应按照财政部制定的《政府采购质疑函范本》格式和《政府采购质疑和投诉办法》的要求，在法定质疑期内书面形式提出质疑，针对同一采购程序环节的质疑应一次性提出。超出法定质疑期的、重复提出的、分次提出的或内容、形式不符合《政府采购质疑和投诉办法》的，质疑供应商将依法承担不利后果。</w:t>
      </w:r>
    </w:p>
    <w:p w14:paraId="570716F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9.7.1.3 </w:t>
      </w:r>
      <w:r>
        <w:rPr>
          <w:rFonts w:hint="eastAsia" w:ascii="仿宋" w:hAnsi="仿宋" w:eastAsia="仿宋" w:cs="仿宋"/>
          <w:color w:val="auto"/>
          <w:szCs w:val="21"/>
          <w:highlight w:val="none"/>
          <w:lang w:val="en-US" w:eastAsia="zh-CN"/>
        </w:rPr>
        <w:t>采购人</w:t>
      </w:r>
      <w:r>
        <w:rPr>
          <w:rFonts w:hint="eastAsia" w:ascii="仿宋" w:hAnsi="仿宋" w:eastAsia="仿宋" w:cs="仿宋"/>
          <w:color w:val="auto"/>
          <w:szCs w:val="21"/>
          <w:highlight w:val="none"/>
        </w:rPr>
        <w:t>接收质疑函的方式、联系部门、联系电话和通讯地址。接收质疑函的方式：质疑函采取现场书面递交形式。由法定代表人持本人身份证原件或授权委托代理人持本人身份证原件及授权委托书原件，同时携带质疑函（原件）和加盖单位公章的相关依据和证明材料，送至采购代理机构。</w:t>
      </w:r>
    </w:p>
    <w:p w14:paraId="6808933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 7.1.4 不按上述要求提出的，采购人和采购代理机构将不予受理。</w:t>
      </w:r>
    </w:p>
    <w:p w14:paraId="3BD0202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9.7.2 质疑回复</w:t>
      </w:r>
    </w:p>
    <w:p w14:paraId="73DB5A0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采购人应在收到质疑函后7 个工作日内作出答复，并以书面形式通知质疑供应商和其他有关供应商，质疑答复的内容不得涉及商业秘密。</w:t>
      </w:r>
    </w:p>
    <w:p w14:paraId="0603DC9F">
      <w:pPr>
        <w:pStyle w:val="5"/>
        <w:numPr>
          <w:ilvl w:val="2"/>
          <w:numId w:val="0"/>
        </w:numPr>
        <w:spacing w:before="0" w:after="0"/>
        <w:ind w:left="1588" w:hanging="737"/>
        <w:rPr>
          <w:rFonts w:ascii="仿宋" w:hAnsi="仿宋" w:eastAsia="仿宋" w:cs="仿宋"/>
          <w:color w:val="auto"/>
          <w:szCs w:val="24"/>
          <w:highlight w:val="none"/>
        </w:rPr>
      </w:pPr>
      <w:bookmarkStart w:id="100" w:name="_Toc491888653"/>
      <w:bookmarkStart w:id="101" w:name="_Toc3698"/>
      <w:r>
        <w:rPr>
          <w:rFonts w:hint="eastAsia" w:ascii="仿宋" w:hAnsi="仿宋" w:eastAsia="仿宋" w:cs="仿宋"/>
          <w:color w:val="auto"/>
          <w:szCs w:val="24"/>
          <w:highlight w:val="none"/>
        </w:rPr>
        <w:t>10. 需要补充的其他内容</w:t>
      </w:r>
      <w:bookmarkEnd w:id="100"/>
      <w:bookmarkEnd w:id="101"/>
    </w:p>
    <w:p w14:paraId="008A95F5">
      <w:pPr>
        <w:spacing w:line="360" w:lineRule="auto"/>
        <w:ind w:firstLine="455"/>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10.1</w:t>
      </w:r>
      <w:r>
        <w:rPr>
          <w:rFonts w:hint="eastAsia" w:ascii="仿宋" w:hAnsi="仿宋" w:eastAsia="仿宋" w:cs="仿宋"/>
          <w:color w:val="auto"/>
          <w:szCs w:val="21"/>
          <w:highlight w:val="none"/>
        </w:rPr>
        <w:t>供应商为响应文件中所附资料复印件与原件的一致性负责，采购人有权在磋商有效期内审核成交人在响应文件中所附资料的原件，若发现与原件资料不一致的情况，取消成交资格，且上报财政部门列入失信行为。采购人有权保留追究其法律责任的权利</w:t>
      </w:r>
      <w:r>
        <w:rPr>
          <w:rFonts w:hint="eastAsia" w:ascii="仿宋" w:hAnsi="仿宋" w:eastAsia="仿宋" w:cs="仿宋"/>
          <w:color w:val="auto"/>
          <w:szCs w:val="21"/>
          <w:highlight w:val="none"/>
          <w:lang w:eastAsia="zh-CN"/>
        </w:rPr>
        <w:t>。</w:t>
      </w:r>
    </w:p>
    <w:p w14:paraId="71D1C83B">
      <w:pPr>
        <w:spacing w:line="360" w:lineRule="auto"/>
        <w:ind w:firstLine="455"/>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10.2</w:t>
      </w:r>
      <w:r>
        <w:rPr>
          <w:rFonts w:hint="eastAsia" w:ascii="仿宋" w:hAnsi="仿宋" w:eastAsia="仿宋" w:cs="仿宋"/>
          <w:color w:val="auto"/>
          <w:szCs w:val="21"/>
          <w:highlight w:val="none"/>
        </w:rPr>
        <w:t>递交响应文件时，供应商应携带以下资料原件，并由</w:t>
      </w:r>
      <w:r>
        <w:rPr>
          <w:rFonts w:hint="eastAsia" w:ascii="仿宋" w:hAnsi="仿宋" w:eastAsia="仿宋" w:cs="仿宋"/>
          <w:color w:val="auto"/>
          <w:szCs w:val="21"/>
          <w:highlight w:val="none"/>
          <w:lang w:val="en-US" w:eastAsia="zh-CN"/>
        </w:rPr>
        <w:t>采购人经办人</w:t>
      </w:r>
      <w:r>
        <w:rPr>
          <w:rFonts w:hint="eastAsia" w:ascii="仿宋" w:hAnsi="仿宋" w:eastAsia="仿宋" w:cs="仿宋"/>
          <w:color w:val="auto"/>
          <w:szCs w:val="21"/>
          <w:highlight w:val="none"/>
        </w:rPr>
        <w:t>登记收取后交由磋商小组审验：1、法定代表人身份证明书；2、授权委托书（由授权代理人递交响应文件时提供）；3、法定代表人身份证原件（由法定代表人递交响应文件时提供）或授权代理人身份证原件（由授权代理人递交响应文件时提供）</w:t>
      </w:r>
      <w:r>
        <w:rPr>
          <w:rFonts w:hint="eastAsia" w:ascii="仿宋" w:hAnsi="仿宋" w:eastAsia="仿宋" w:cs="仿宋"/>
          <w:color w:val="auto"/>
          <w:szCs w:val="21"/>
          <w:highlight w:val="none"/>
          <w:lang w:eastAsia="zh-CN"/>
        </w:rPr>
        <w:t>。</w:t>
      </w:r>
    </w:p>
    <w:p w14:paraId="11731E25">
      <w:pPr>
        <w:pStyle w:val="2"/>
        <w:ind w:firstLine="420" w:firstLineChars="200"/>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10.3</w:t>
      </w:r>
      <w:r>
        <w:rPr>
          <w:rFonts w:hint="eastAsia" w:ascii="仿宋" w:hAnsi="仿宋" w:eastAsia="仿宋" w:cs="仿宋"/>
          <w:color w:val="auto"/>
          <w:szCs w:val="21"/>
          <w:highlight w:val="none"/>
        </w:rPr>
        <w:t>本项目采购内容对应的中小企业划分标准所属行业为租赁和商务服务业。</w:t>
      </w:r>
    </w:p>
    <w:p w14:paraId="05B647D3">
      <w:pPr>
        <w:spacing w:line="360" w:lineRule="auto"/>
        <w:ind w:firstLine="420" w:firstLineChars="200"/>
        <w:rPr>
          <w:rFonts w:hint="default" w:ascii="仿宋" w:hAnsi="仿宋" w:eastAsia="仿宋" w:cs="仿宋"/>
          <w:color w:val="auto"/>
          <w:spacing w:val="8"/>
          <w:szCs w:val="21"/>
          <w:highlight w:val="none"/>
          <w:lang w:val="en-US" w:eastAsia="zh-CN"/>
        </w:rPr>
        <w:sectPr>
          <w:footerReference r:id="rId7" w:type="first"/>
          <w:footerReference r:id="rId6" w:type="default"/>
          <w:pgSz w:w="11906" w:h="16838"/>
          <w:pgMar w:top="1440" w:right="1366" w:bottom="1118" w:left="1080" w:header="851" w:footer="992" w:gutter="0"/>
          <w:pgNumType w:fmt="decimal" w:start="1"/>
          <w:cols w:space="720" w:num="1"/>
          <w:titlePg/>
          <w:docGrid w:type="lines" w:linePitch="312" w:charSpace="0"/>
        </w:sectPr>
      </w:pPr>
      <w:r>
        <w:rPr>
          <w:rFonts w:hint="eastAsia" w:ascii="仿宋" w:hAnsi="仿宋" w:eastAsia="仿宋" w:cs="仿宋"/>
          <w:b w:val="0"/>
          <w:bCs w:val="0"/>
          <w:color w:val="auto"/>
          <w:spacing w:val="0"/>
          <w:szCs w:val="21"/>
          <w:highlight w:val="none"/>
          <w:lang w:val="en-US" w:eastAsia="zh-CN"/>
        </w:rPr>
        <w:t>10.4</w:t>
      </w:r>
      <w:r>
        <w:rPr>
          <w:rFonts w:hint="eastAsia" w:ascii="仿宋" w:hAnsi="仿宋" w:eastAsia="仿宋" w:cs="仿宋"/>
          <w:color w:val="auto"/>
          <w:spacing w:val="8"/>
          <w:szCs w:val="21"/>
          <w:highlight w:val="none"/>
          <w:lang w:val="en-US" w:eastAsia="zh-CN"/>
        </w:rPr>
        <w:t>其他需要补充的内容：无</w:t>
      </w:r>
    </w:p>
    <w:p w14:paraId="5260C572">
      <w:pPr>
        <w:tabs>
          <w:tab w:val="left" w:pos="360"/>
        </w:tabs>
        <w:jc w:val="center"/>
        <w:outlineLvl w:val="0"/>
        <w:rPr>
          <w:rFonts w:ascii="仿宋" w:hAnsi="仿宋" w:eastAsia="仿宋" w:cs="仿宋"/>
          <w:color w:val="auto"/>
          <w:sz w:val="44"/>
          <w:highlight w:val="none"/>
        </w:rPr>
      </w:pPr>
      <w:bookmarkStart w:id="102" w:name="_Toc17125"/>
      <w:r>
        <w:rPr>
          <w:rFonts w:hint="eastAsia" w:ascii="仿宋" w:hAnsi="仿宋" w:eastAsia="仿宋" w:cs="仿宋"/>
          <w:b/>
          <w:bCs/>
          <w:color w:val="auto"/>
          <w:kern w:val="0"/>
          <w:sz w:val="44"/>
          <w:highlight w:val="none"/>
        </w:rPr>
        <w:t>第三章 合同书样式及主要条款</w:t>
      </w:r>
      <w:bookmarkEnd w:id="102"/>
    </w:p>
    <w:p w14:paraId="15BE24FF">
      <w:pPr>
        <w:pStyle w:val="2"/>
        <w:ind w:firstLine="1205" w:firstLineChars="500"/>
        <w:rPr>
          <w:rFonts w:eastAsia="仿宋"/>
          <w:color w:val="auto"/>
          <w:highlight w:val="none"/>
        </w:rPr>
      </w:pPr>
      <w:r>
        <w:rPr>
          <w:rFonts w:hint="eastAsia" w:ascii="仿宋" w:hAnsi="仿宋" w:eastAsia="仿宋" w:cs="仿宋"/>
          <w:b/>
          <w:bCs/>
          <w:color w:val="auto"/>
          <w:kern w:val="0"/>
          <w:sz w:val="24"/>
          <w:szCs w:val="16"/>
          <w:highlight w:val="none"/>
        </w:rPr>
        <w:t>(本合同书样式仅供参考，具体合同内容以双方实际签订的内容为准)</w:t>
      </w:r>
    </w:p>
    <w:p w14:paraId="635368BB">
      <w:pPr>
        <w:spacing w:before="79" w:line="219" w:lineRule="auto"/>
        <w:ind w:left="58"/>
        <w:rPr>
          <w:rFonts w:ascii="宋体" w:hAnsi="宋体" w:cs="宋体"/>
          <w:color w:val="auto"/>
          <w:spacing w:val="-2"/>
          <w:sz w:val="24"/>
          <w:highlight w:val="none"/>
        </w:rPr>
      </w:pPr>
    </w:p>
    <w:p w14:paraId="29230D7F">
      <w:pPr>
        <w:spacing w:beforeLines="50" w:afterLines="50" w:line="480" w:lineRule="auto"/>
        <w:jc w:val="center"/>
        <w:outlineLvl w:val="0"/>
        <w:rPr>
          <w:rFonts w:hint="eastAsia" w:ascii="仿宋" w:hAnsi="仿宋" w:eastAsia="仿宋" w:cs="仿宋"/>
          <w:b/>
          <w:bCs w:val="0"/>
          <w:color w:val="auto"/>
          <w:kern w:val="0"/>
          <w:sz w:val="44"/>
          <w:szCs w:val="44"/>
          <w:highlight w:val="none"/>
        </w:rPr>
      </w:pPr>
      <w:r>
        <w:rPr>
          <w:rFonts w:hint="eastAsia" w:ascii="仿宋" w:hAnsi="仿宋" w:eastAsia="仿宋" w:cs="仿宋"/>
          <w:b/>
          <w:bCs w:val="0"/>
          <w:color w:val="auto"/>
          <w:kern w:val="0"/>
          <w:sz w:val="44"/>
          <w:szCs w:val="44"/>
          <w:highlight w:val="none"/>
        </w:rPr>
        <w:t>云南省昆明市官渡区人民政府长水街道办事处202</w:t>
      </w:r>
      <w:r>
        <w:rPr>
          <w:rFonts w:hint="eastAsia" w:ascii="仿宋" w:hAnsi="仿宋" w:eastAsia="仿宋" w:cs="仿宋"/>
          <w:b/>
          <w:bCs w:val="0"/>
          <w:color w:val="auto"/>
          <w:kern w:val="0"/>
          <w:sz w:val="44"/>
          <w:szCs w:val="44"/>
          <w:highlight w:val="none"/>
          <w:lang w:val="en-US" w:eastAsia="zh-CN"/>
        </w:rPr>
        <w:t>5</w:t>
      </w:r>
      <w:r>
        <w:rPr>
          <w:rFonts w:hint="eastAsia" w:ascii="仿宋" w:hAnsi="仿宋" w:eastAsia="仿宋" w:cs="仿宋"/>
          <w:b/>
          <w:bCs w:val="0"/>
          <w:color w:val="auto"/>
          <w:kern w:val="0"/>
          <w:sz w:val="44"/>
          <w:szCs w:val="44"/>
          <w:highlight w:val="none"/>
        </w:rPr>
        <w:t>-202</w:t>
      </w:r>
      <w:r>
        <w:rPr>
          <w:rFonts w:hint="eastAsia" w:ascii="仿宋" w:hAnsi="仿宋" w:eastAsia="仿宋" w:cs="仿宋"/>
          <w:b/>
          <w:bCs w:val="0"/>
          <w:color w:val="auto"/>
          <w:kern w:val="0"/>
          <w:sz w:val="44"/>
          <w:szCs w:val="44"/>
          <w:highlight w:val="none"/>
          <w:lang w:val="en-US" w:eastAsia="zh-CN"/>
        </w:rPr>
        <w:t>6</w:t>
      </w:r>
      <w:r>
        <w:rPr>
          <w:rFonts w:hint="eastAsia" w:ascii="仿宋" w:hAnsi="仿宋" w:eastAsia="仿宋" w:cs="仿宋"/>
          <w:b/>
          <w:bCs w:val="0"/>
          <w:color w:val="auto"/>
          <w:kern w:val="0"/>
          <w:sz w:val="44"/>
          <w:szCs w:val="44"/>
          <w:highlight w:val="none"/>
        </w:rPr>
        <w:t>年度招标代理</w:t>
      </w:r>
      <w:r>
        <w:rPr>
          <w:rFonts w:hint="eastAsia" w:ascii="仿宋" w:hAnsi="仿宋" w:eastAsia="仿宋" w:cs="仿宋"/>
          <w:b/>
          <w:bCs w:val="0"/>
          <w:color w:val="auto"/>
          <w:kern w:val="0"/>
          <w:sz w:val="44"/>
          <w:szCs w:val="44"/>
          <w:highlight w:val="none"/>
          <w:lang w:val="en-US" w:eastAsia="zh-CN"/>
        </w:rPr>
        <w:t>服务单位采购</w:t>
      </w:r>
    </w:p>
    <w:p w14:paraId="0BD8764D">
      <w:pPr>
        <w:spacing w:line="480" w:lineRule="auto"/>
        <w:jc w:val="center"/>
        <w:rPr>
          <w:rFonts w:hint="eastAsia" w:ascii="仿宋" w:hAnsi="仿宋" w:eastAsia="仿宋" w:cs="仿宋"/>
          <w:b/>
          <w:bCs/>
          <w:color w:val="auto"/>
          <w:sz w:val="84"/>
          <w:szCs w:val="84"/>
        </w:rPr>
      </w:pPr>
    </w:p>
    <w:p w14:paraId="2286E0F2">
      <w:pPr>
        <w:pStyle w:val="26"/>
        <w:rPr>
          <w:rFonts w:hint="eastAsia" w:ascii="仿宋" w:hAnsi="仿宋" w:eastAsia="仿宋" w:cs="仿宋"/>
          <w:color w:val="auto"/>
        </w:rPr>
      </w:pPr>
    </w:p>
    <w:p w14:paraId="495706C9">
      <w:pPr>
        <w:pStyle w:val="26"/>
        <w:rPr>
          <w:rFonts w:hint="eastAsia" w:ascii="仿宋" w:hAnsi="仿宋" w:eastAsia="仿宋" w:cs="仿宋"/>
          <w:color w:val="auto"/>
        </w:rPr>
      </w:pPr>
    </w:p>
    <w:p w14:paraId="786C7EEB">
      <w:pPr>
        <w:spacing w:line="480" w:lineRule="auto"/>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rPr>
        <w:t>招标代理合同</w:t>
      </w:r>
    </w:p>
    <w:p w14:paraId="4CF3EB0D">
      <w:pPr>
        <w:spacing w:line="400" w:lineRule="exact"/>
        <w:ind w:firstLine="240"/>
        <w:rPr>
          <w:rFonts w:hint="eastAsia" w:ascii="仿宋" w:hAnsi="仿宋" w:eastAsia="仿宋" w:cs="仿宋"/>
          <w:b/>
          <w:bCs/>
          <w:color w:val="auto"/>
        </w:rPr>
      </w:pPr>
    </w:p>
    <w:p w14:paraId="61E3B38A">
      <w:pPr>
        <w:spacing w:line="400" w:lineRule="exact"/>
        <w:ind w:firstLine="240"/>
        <w:rPr>
          <w:rFonts w:hint="eastAsia" w:ascii="仿宋" w:hAnsi="仿宋" w:eastAsia="仿宋" w:cs="仿宋"/>
          <w:b/>
          <w:bCs/>
          <w:color w:val="auto"/>
        </w:rPr>
      </w:pPr>
    </w:p>
    <w:p w14:paraId="1B74AEC9">
      <w:pPr>
        <w:spacing w:line="400" w:lineRule="exact"/>
        <w:ind w:firstLine="240"/>
        <w:rPr>
          <w:rFonts w:hint="eastAsia" w:ascii="仿宋" w:hAnsi="仿宋" w:eastAsia="仿宋" w:cs="仿宋"/>
          <w:bCs/>
          <w:color w:val="auto"/>
          <w:sz w:val="28"/>
          <w:szCs w:val="28"/>
        </w:rPr>
      </w:pPr>
    </w:p>
    <w:p w14:paraId="0FA1C19E">
      <w:pPr>
        <w:spacing w:line="400" w:lineRule="exact"/>
        <w:ind w:firstLine="240"/>
        <w:rPr>
          <w:rFonts w:hint="eastAsia" w:ascii="仿宋" w:hAnsi="仿宋" w:eastAsia="仿宋" w:cs="仿宋"/>
          <w:b/>
          <w:bCs/>
          <w:color w:val="auto"/>
        </w:rPr>
      </w:pPr>
    </w:p>
    <w:p w14:paraId="49C53B20">
      <w:pPr>
        <w:spacing w:line="400" w:lineRule="exact"/>
        <w:ind w:firstLine="240"/>
        <w:rPr>
          <w:rFonts w:hint="eastAsia" w:ascii="仿宋" w:hAnsi="仿宋" w:eastAsia="仿宋" w:cs="仿宋"/>
          <w:b/>
          <w:bCs/>
          <w:color w:val="auto"/>
        </w:rPr>
      </w:pPr>
    </w:p>
    <w:p w14:paraId="067BB768">
      <w:pPr>
        <w:spacing w:line="400" w:lineRule="exact"/>
        <w:ind w:firstLine="240"/>
        <w:rPr>
          <w:rFonts w:hint="eastAsia" w:ascii="仿宋" w:hAnsi="仿宋" w:eastAsia="仿宋" w:cs="仿宋"/>
          <w:b/>
          <w:bCs/>
          <w:color w:val="auto"/>
        </w:rPr>
      </w:pPr>
    </w:p>
    <w:p w14:paraId="0272F119">
      <w:pPr>
        <w:spacing w:line="400" w:lineRule="exact"/>
        <w:ind w:firstLine="240"/>
        <w:rPr>
          <w:rFonts w:hint="eastAsia" w:ascii="仿宋" w:hAnsi="仿宋" w:eastAsia="仿宋" w:cs="仿宋"/>
          <w:b/>
          <w:bCs/>
          <w:color w:val="auto"/>
        </w:rPr>
      </w:pPr>
    </w:p>
    <w:p w14:paraId="77B3AE7F">
      <w:pPr>
        <w:spacing w:line="360" w:lineRule="auto"/>
        <w:rPr>
          <w:rFonts w:hint="eastAsia" w:ascii="仿宋" w:hAnsi="仿宋" w:eastAsia="仿宋" w:cs="仿宋"/>
          <w:b/>
          <w:bCs/>
          <w:color w:val="auto"/>
          <w:sz w:val="32"/>
        </w:rPr>
      </w:pPr>
    </w:p>
    <w:p w14:paraId="6A5C2951">
      <w:pPr>
        <w:spacing w:line="900" w:lineRule="exact"/>
        <w:ind w:firstLine="964" w:firstLineChars="300"/>
        <w:jc w:val="both"/>
        <w:rPr>
          <w:rFonts w:hint="eastAsia" w:ascii="仿宋" w:hAnsi="仿宋" w:eastAsia="仿宋" w:cs="仿宋"/>
          <w:b/>
          <w:bCs/>
          <w:color w:val="auto"/>
          <w:sz w:val="32"/>
        </w:rPr>
      </w:pPr>
      <w:r>
        <w:rPr>
          <w:rFonts w:hint="eastAsia" w:ascii="仿宋" w:hAnsi="仿宋" w:eastAsia="仿宋" w:cs="仿宋"/>
          <w:b/>
          <w:bCs/>
          <w:color w:val="auto"/>
          <w:sz w:val="32"/>
        </w:rPr>
        <w:t>委托方：</w:t>
      </w:r>
      <w:r>
        <w:rPr>
          <w:rFonts w:hint="eastAsia" w:ascii="仿宋" w:hAnsi="仿宋" w:eastAsia="仿宋" w:cs="仿宋"/>
          <w:b/>
          <w:bCs/>
          <w:color w:val="auto"/>
          <w:sz w:val="32"/>
          <w:lang w:val="en-US" w:eastAsia="zh-CN"/>
        </w:rPr>
        <w:t>昆明市官渡区人民政府长水街道办事处</w:t>
      </w:r>
    </w:p>
    <w:p w14:paraId="01B1C7FB">
      <w:pPr>
        <w:spacing w:line="400" w:lineRule="exact"/>
        <w:ind w:firstLine="422" w:firstLineChars="200"/>
        <w:rPr>
          <w:rFonts w:hint="eastAsia" w:ascii="仿宋" w:hAnsi="仿宋" w:eastAsia="仿宋" w:cs="仿宋"/>
          <w:b/>
          <w:bCs/>
          <w:color w:val="auto"/>
        </w:rPr>
      </w:pPr>
    </w:p>
    <w:p w14:paraId="29BA19D8">
      <w:pPr>
        <w:spacing w:line="240" w:lineRule="atLeast"/>
        <w:ind w:firstLine="964" w:firstLineChars="300"/>
        <w:jc w:val="both"/>
        <w:rPr>
          <w:rFonts w:hint="eastAsia" w:ascii="仿宋" w:hAnsi="仿宋" w:eastAsia="仿宋" w:cs="仿宋"/>
          <w:b/>
          <w:bCs/>
          <w:color w:val="auto"/>
          <w:spacing w:val="26"/>
          <w:sz w:val="32"/>
          <w:szCs w:val="32"/>
          <w:lang w:val="en-US"/>
        </w:rPr>
      </w:pPr>
      <w:r>
        <w:rPr>
          <w:rFonts w:hint="eastAsia" w:ascii="仿宋" w:hAnsi="仿宋" w:eastAsia="仿宋" w:cs="仿宋"/>
          <w:b/>
          <w:bCs/>
          <w:color w:val="auto"/>
          <w:sz w:val="32"/>
        </w:rPr>
        <w:t>受托方：</w:t>
      </w:r>
      <w:r>
        <w:rPr>
          <w:rFonts w:hint="eastAsia" w:ascii="仿宋" w:hAnsi="仿宋" w:eastAsia="仿宋" w:cs="仿宋"/>
          <w:b/>
          <w:bCs/>
          <w:color w:val="auto"/>
          <w:sz w:val="32"/>
          <w:lang w:val="en-US" w:eastAsia="zh-CN"/>
        </w:rPr>
        <w:t xml:space="preserve">     </w:t>
      </w:r>
    </w:p>
    <w:p w14:paraId="521F20F5">
      <w:pPr>
        <w:spacing w:line="400" w:lineRule="exact"/>
        <w:ind w:firstLine="2570" w:firstLineChars="800"/>
        <w:jc w:val="both"/>
        <w:rPr>
          <w:rFonts w:hint="eastAsia" w:ascii="仿宋" w:hAnsi="仿宋" w:eastAsia="仿宋" w:cs="仿宋"/>
          <w:b/>
          <w:bCs/>
          <w:color w:val="auto"/>
          <w:sz w:val="32"/>
        </w:rPr>
      </w:pPr>
    </w:p>
    <w:p w14:paraId="438BA10A">
      <w:pPr>
        <w:spacing w:line="400" w:lineRule="exact"/>
        <w:ind w:firstLine="2570" w:firstLineChars="800"/>
        <w:jc w:val="both"/>
        <w:rPr>
          <w:rFonts w:hint="eastAsia" w:ascii="仿宋" w:hAnsi="仿宋" w:eastAsia="仿宋" w:cs="仿宋"/>
          <w:b/>
          <w:bCs/>
          <w:color w:val="auto"/>
          <w:sz w:val="32"/>
        </w:rPr>
      </w:pPr>
      <w:r>
        <w:rPr>
          <w:rFonts w:hint="eastAsia" w:ascii="仿宋" w:hAnsi="仿宋" w:eastAsia="仿宋" w:cs="仿宋"/>
          <w:b/>
          <w:bCs/>
          <w:color w:val="auto"/>
          <w:sz w:val="32"/>
          <w:lang w:val="en-US" w:eastAsia="zh-CN"/>
        </w:rPr>
        <w:t xml:space="preserve">   </w:t>
      </w:r>
      <w:r>
        <w:rPr>
          <w:rFonts w:hint="eastAsia" w:ascii="仿宋" w:hAnsi="仿宋" w:eastAsia="仿宋" w:cs="仿宋"/>
          <w:b/>
          <w:bCs/>
          <w:color w:val="auto"/>
          <w:sz w:val="32"/>
          <w:lang w:eastAsia="zh-CN"/>
        </w:rPr>
        <w:t>年</w:t>
      </w:r>
      <w:r>
        <w:rPr>
          <w:rFonts w:hint="eastAsia" w:ascii="仿宋" w:hAnsi="仿宋" w:eastAsia="仿宋" w:cs="仿宋"/>
          <w:b/>
          <w:bCs/>
          <w:color w:val="auto"/>
          <w:sz w:val="32"/>
          <w:lang w:val="en-US" w:eastAsia="zh-CN"/>
        </w:rPr>
        <w:t xml:space="preserve">     </w:t>
      </w:r>
      <w:r>
        <w:rPr>
          <w:rFonts w:hint="eastAsia" w:ascii="仿宋" w:hAnsi="仿宋" w:eastAsia="仿宋" w:cs="仿宋"/>
          <w:b/>
          <w:bCs/>
          <w:color w:val="auto"/>
          <w:sz w:val="32"/>
        </w:rPr>
        <w:t>月</w:t>
      </w:r>
    </w:p>
    <w:p w14:paraId="32579AEF">
      <w:pPr>
        <w:spacing w:line="240" w:lineRule="atLeast"/>
        <w:jc w:val="center"/>
        <w:rPr>
          <w:rFonts w:hint="eastAsia" w:ascii="仿宋" w:hAnsi="仿宋" w:eastAsia="仿宋" w:cs="仿宋"/>
          <w:b/>
          <w:bCs/>
          <w:color w:val="auto"/>
          <w:spacing w:val="26"/>
          <w:sz w:val="36"/>
          <w:szCs w:val="36"/>
        </w:rPr>
      </w:pPr>
      <w:r>
        <w:rPr>
          <w:rFonts w:hint="eastAsia" w:ascii="仿宋" w:hAnsi="仿宋" w:eastAsia="仿宋" w:cs="仿宋"/>
          <w:b/>
          <w:bCs/>
          <w:color w:val="auto"/>
          <w:spacing w:val="26"/>
          <w:sz w:val="36"/>
          <w:szCs w:val="36"/>
        </w:rPr>
        <w:br w:type="page"/>
      </w:r>
    </w:p>
    <w:p w14:paraId="58C260F7">
      <w:pPr>
        <w:spacing w:line="240" w:lineRule="atLeast"/>
        <w:jc w:val="center"/>
        <w:rPr>
          <w:rFonts w:hint="eastAsia" w:ascii="仿宋" w:hAnsi="仿宋" w:eastAsia="仿宋" w:cs="仿宋"/>
          <w:color w:val="auto"/>
          <w:spacing w:val="26"/>
          <w:sz w:val="32"/>
          <w:szCs w:val="32"/>
        </w:rPr>
      </w:pPr>
      <w:r>
        <w:rPr>
          <w:rFonts w:hint="eastAsia" w:ascii="仿宋" w:hAnsi="仿宋" w:eastAsia="仿宋" w:cs="仿宋"/>
          <w:b/>
          <w:bCs/>
          <w:color w:val="auto"/>
          <w:spacing w:val="26"/>
          <w:sz w:val="32"/>
          <w:szCs w:val="32"/>
        </w:rPr>
        <w:t>招标代理合同</w:t>
      </w:r>
    </w:p>
    <w:p w14:paraId="5ED6D59D">
      <w:pPr>
        <w:spacing w:line="0" w:lineRule="atLeast"/>
        <w:ind w:firstLine="320" w:firstLineChars="200"/>
        <w:rPr>
          <w:rFonts w:hint="eastAsia" w:ascii="仿宋" w:hAnsi="仿宋" w:eastAsia="仿宋" w:cs="仿宋"/>
          <w:color w:val="auto"/>
          <w:sz w:val="16"/>
          <w:szCs w:val="16"/>
        </w:rPr>
      </w:pPr>
    </w:p>
    <w:p w14:paraId="08D7A243">
      <w:pPr>
        <w:spacing w:line="900" w:lineRule="exact"/>
        <w:ind w:firstLine="480" w:firstLineChars="200"/>
        <w:jc w:val="both"/>
        <w:rPr>
          <w:rFonts w:hint="eastAsia" w:ascii="仿宋" w:hAnsi="仿宋" w:eastAsia="仿宋" w:cs="仿宋"/>
          <w:b/>
          <w:color w:val="auto"/>
          <w:sz w:val="24"/>
          <w:szCs w:val="24"/>
          <w:u w:val="single"/>
        </w:rPr>
      </w:pPr>
      <w:r>
        <w:rPr>
          <w:rFonts w:hint="eastAsia" w:ascii="仿宋" w:hAnsi="仿宋" w:eastAsia="仿宋" w:cs="仿宋"/>
          <w:color w:val="auto"/>
          <w:sz w:val="24"/>
          <w:szCs w:val="24"/>
        </w:rPr>
        <w:t>委托人：</w:t>
      </w:r>
      <w:r>
        <w:rPr>
          <w:rFonts w:hint="eastAsia" w:ascii="仿宋" w:hAnsi="仿宋" w:eastAsia="仿宋" w:cs="仿宋"/>
          <w:b/>
          <w:color w:val="auto"/>
          <w:sz w:val="24"/>
          <w:szCs w:val="24"/>
          <w:u w:val="single"/>
          <w:lang w:val="en-US" w:eastAsia="zh-CN"/>
        </w:rPr>
        <w:t>昆明市官渡区人民政府长水街道办事处</w:t>
      </w:r>
    </w:p>
    <w:p w14:paraId="15AE2B47">
      <w:pPr>
        <w:spacing w:line="440" w:lineRule="exact"/>
        <w:ind w:firstLine="480" w:firstLineChars="200"/>
        <w:rPr>
          <w:rFonts w:hint="eastAsia" w:ascii="仿宋" w:hAnsi="仿宋" w:eastAsia="仿宋" w:cs="仿宋"/>
          <w:b/>
          <w:color w:val="auto"/>
          <w:sz w:val="24"/>
          <w:szCs w:val="24"/>
          <w:u w:val="single"/>
        </w:rPr>
      </w:pPr>
      <w:r>
        <w:rPr>
          <w:rFonts w:hint="eastAsia" w:ascii="仿宋" w:hAnsi="仿宋" w:eastAsia="仿宋" w:cs="仿宋"/>
          <w:color w:val="auto"/>
          <w:sz w:val="24"/>
          <w:szCs w:val="24"/>
        </w:rPr>
        <w:t>受托人：</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u w:val="single"/>
          <w:lang w:val="en-US" w:eastAsia="zh-CN"/>
        </w:rPr>
        <w:t xml:space="preserve">                               </w:t>
      </w:r>
      <w:r>
        <w:rPr>
          <w:rFonts w:hint="eastAsia" w:ascii="仿宋" w:hAnsi="仿宋" w:eastAsia="仿宋" w:cs="仿宋"/>
          <w:b/>
          <w:color w:val="auto"/>
          <w:sz w:val="24"/>
          <w:szCs w:val="24"/>
          <w:u w:val="single"/>
        </w:rPr>
        <w:t xml:space="preserve">  </w:t>
      </w:r>
    </w:p>
    <w:p w14:paraId="089D7B67">
      <w:pPr>
        <w:spacing w:line="440" w:lineRule="exact"/>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依照《中华人民共和国</w:t>
      </w:r>
      <w:r>
        <w:rPr>
          <w:rFonts w:hint="eastAsia" w:ascii="仿宋" w:hAnsi="仿宋" w:eastAsia="仿宋" w:cs="仿宋"/>
          <w:strike w:val="0"/>
          <w:color w:val="auto"/>
          <w:sz w:val="24"/>
          <w:szCs w:val="24"/>
          <w:lang w:val="en-US" w:eastAsia="zh-CN"/>
        </w:rPr>
        <w:t>民法典</w:t>
      </w:r>
      <w:r>
        <w:rPr>
          <w:rFonts w:hint="eastAsia" w:ascii="仿宋" w:hAnsi="仿宋" w:eastAsia="仿宋" w:cs="仿宋"/>
          <w:color w:val="auto"/>
          <w:sz w:val="24"/>
          <w:szCs w:val="24"/>
        </w:rPr>
        <w:t>》、 《中华人民共和国政府采购法》及国家的有关法律、法规，遵循平等、自愿、公平和诚实信用的原则，双方就</w:t>
      </w:r>
      <w:r>
        <w:rPr>
          <w:rFonts w:hint="eastAsia" w:ascii="仿宋" w:hAnsi="仿宋" w:eastAsia="仿宋" w:cs="仿宋"/>
          <w:b/>
          <w:bCs/>
          <w:color w:val="auto"/>
          <w:sz w:val="24"/>
          <w:szCs w:val="24"/>
          <w:u w:val="single"/>
        </w:rPr>
        <w:t>云南省昆明市官渡区人民政府长水街道办事处202</w:t>
      </w:r>
      <w:r>
        <w:rPr>
          <w:rFonts w:hint="eastAsia" w:ascii="仿宋" w:hAnsi="仿宋" w:eastAsia="仿宋" w:cs="仿宋"/>
          <w:b/>
          <w:bCs/>
          <w:color w:val="auto"/>
          <w:sz w:val="24"/>
          <w:szCs w:val="24"/>
          <w:u w:val="single"/>
          <w:lang w:val="en-US" w:eastAsia="zh-CN"/>
        </w:rPr>
        <w:t>5</w:t>
      </w:r>
      <w:r>
        <w:rPr>
          <w:rFonts w:hint="eastAsia" w:ascii="仿宋" w:hAnsi="仿宋" w:eastAsia="仿宋" w:cs="仿宋"/>
          <w:b/>
          <w:bCs/>
          <w:color w:val="auto"/>
          <w:sz w:val="24"/>
          <w:szCs w:val="24"/>
          <w:u w:val="single"/>
        </w:rPr>
        <w:t>-202</w:t>
      </w:r>
      <w:r>
        <w:rPr>
          <w:rFonts w:hint="eastAsia" w:ascii="仿宋" w:hAnsi="仿宋" w:eastAsia="仿宋" w:cs="仿宋"/>
          <w:b/>
          <w:bCs/>
          <w:color w:val="auto"/>
          <w:sz w:val="24"/>
          <w:szCs w:val="24"/>
          <w:u w:val="single"/>
          <w:lang w:val="en-US" w:eastAsia="zh-CN"/>
        </w:rPr>
        <w:t>6</w:t>
      </w:r>
      <w:r>
        <w:rPr>
          <w:rFonts w:hint="eastAsia" w:ascii="仿宋" w:hAnsi="仿宋" w:eastAsia="仿宋" w:cs="仿宋"/>
          <w:b/>
          <w:bCs/>
          <w:color w:val="auto"/>
          <w:sz w:val="24"/>
          <w:szCs w:val="24"/>
          <w:u w:val="single"/>
        </w:rPr>
        <w:t>年度招标代理</w:t>
      </w:r>
      <w:r>
        <w:rPr>
          <w:rFonts w:hint="eastAsia" w:ascii="仿宋" w:hAnsi="仿宋" w:eastAsia="仿宋" w:cs="仿宋"/>
          <w:b/>
          <w:bCs/>
          <w:color w:val="auto"/>
          <w:sz w:val="24"/>
          <w:szCs w:val="24"/>
          <w:u w:val="single"/>
          <w:lang w:val="en-US" w:eastAsia="zh-CN"/>
        </w:rPr>
        <w:t xml:space="preserve">服务单位采购 </w:t>
      </w:r>
      <w:r>
        <w:rPr>
          <w:rFonts w:hint="eastAsia" w:ascii="仿宋" w:hAnsi="仿宋" w:eastAsia="仿宋" w:cs="仿宋"/>
          <w:color w:val="auto"/>
          <w:sz w:val="24"/>
          <w:szCs w:val="24"/>
        </w:rPr>
        <w:t>招标代理事项协商一致，订立本合同。</w:t>
      </w:r>
    </w:p>
    <w:p w14:paraId="5D12A6B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一、项目概况</w:t>
      </w:r>
    </w:p>
    <w:p w14:paraId="06449540">
      <w:pPr>
        <w:spacing w:line="440" w:lineRule="exact"/>
        <w:ind w:firstLine="480" w:firstLineChars="200"/>
        <w:rPr>
          <w:rFonts w:hint="eastAsia" w:ascii="仿宋" w:hAnsi="仿宋" w:eastAsia="仿宋" w:cs="仿宋"/>
          <w:b w:val="0"/>
          <w:bCs/>
          <w:color w:val="auto"/>
          <w:sz w:val="24"/>
          <w:szCs w:val="24"/>
          <w:u w:val="single"/>
        </w:rPr>
      </w:pPr>
      <w:r>
        <w:rPr>
          <w:rFonts w:hint="eastAsia" w:ascii="仿宋" w:hAnsi="仿宋" w:eastAsia="仿宋" w:cs="仿宋"/>
          <w:color w:val="auto"/>
          <w:sz w:val="24"/>
          <w:szCs w:val="24"/>
        </w:rPr>
        <w:t>项目名称：</w:t>
      </w:r>
      <w:r>
        <w:rPr>
          <w:rFonts w:hint="eastAsia" w:ascii="仿宋" w:hAnsi="仿宋" w:eastAsia="仿宋" w:cs="仿宋"/>
          <w:b/>
          <w:bCs/>
          <w:color w:val="auto"/>
          <w:sz w:val="24"/>
          <w:szCs w:val="24"/>
          <w:u w:val="single"/>
          <w:lang w:val="zh-CN"/>
        </w:rPr>
        <w:t>云南省昆明市官渡区人民政府长水街道办事处202</w:t>
      </w:r>
      <w:r>
        <w:rPr>
          <w:rFonts w:hint="eastAsia" w:ascii="仿宋" w:hAnsi="仿宋" w:eastAsia="仿宋" w:cs="仿宋"/>
          <w:b/>
          <w:bCs/>
          <w:color w:val="auto"/>
          <w:sz w:val="24"/>
          <w:szCs w:val="24"/>
          <w:u w:val="single"/>
          <w:lang w:val="zh-CN" w:eastAsia="zh-CN"/>
        </w:rPr>
        <w:t>5</w:t>
      </w:r>
      <w:r>
        <w:rPr>
          <w:rFonts w:hint="eastAsia" w:ascii="仿宋" w:hAnsi="仿宋" w:eastAsia="仿宋" w:cs="仿宋"/>
          <w:b/>
          <w:bCs/>
          <w:color w:val="auto"/>
          <w:sz w:val="24"/>
          <w:szCs w:val="24"/>
          <w:u w:val="single"/>
          <w:lang w:val="zh-CN"/>
        </w:rPr>
        <w:t>-202</w:t>
      </w:r>
      <w:r>
        <w:rPr>
          <w:rFonts w:hint="eastAsia" w:ascii="仿宋" w:hAnsi="仿宋" w:eastAsia="仿宋" w:cs="仿宋"/>
          <w:b/>
          <w:bCs/>
          <w:color w:val="auto"/>
          <w:sz w:val="24"/>
          <w:szCs w:val="24"/>
          <w:u w:val="single"/>
          <w:lang w:val="zh-CN" w:eastAsia="zh-CN"/>
        </w:rPr>
        <w:t>6</w:t>
      </w:r>
      <w:r>
        <w:rPr>
          <w:rFonts w:hint="eastAsia" w:ascii="仿宋" w:hAnsi="仿宋" w:eastAsia="仿宋" w:cs="仿宋"/>
          <w:b/>
          <w:bCs/>
          <w:color w:val="auto"/>
          <w:sz w:val="24"/>
          <w:szCs w:val="24"/>
          <w:u w:val="single"/>
          <w:lang w:val="zh-CN"/>
        </w:rPr>
        <w:t>年度招标代理</w:t>
      </w:r>
      <w:r>
        <w:rPr>
          <w:rFonts w:hint="eastAsia" w:ascii="仿宋" w:hAnsi="仿宋" w:eastAsia="仿宋" w:cs="仿宋"/>
          <w:b/>
          <w:bCs/>
          <w:color w:val="auto"/>
          <w:sz w:val="24"/>
          <w:szCs w:val="24"/>
          <w:u w:val="single"/>
          <w:lang w:val="zh-CN" w:eastAsia="zh-CN"/>
        </w:rPr>
        <w:t>服务单位采购</w:t>
      </w:r>
    </w:p>
    <w:p w14:paraId="65892DC2">
      <w:pPr>
        <w:spacing w:line="440" w:lineRule="exact"/>
        <w:ind w:firstLine="480" w:firstLineChars="200"/>
        <w:rPr>
          <w:rFonts w:hint="eastAsia" w:ascii="仿宋" w:hAnsi="仿宋" w:eastAsia="仿宋" w:cs="仿宋"/>
          <w:b w:val="0"/>
          <w:bCs/>
          <w:color w:val="auto"/>
          <w:sz w:val="24"/>
          <w:szCs w:val="24"/>
          <w:u w:val="single"/>
          <w:lang w:val="en-US" w:eastAsia="zh-CN"/>
        </w:rPr>
      </w:pPr>
      <w:r>
        <w:rPr>
          <w:rFonts w:hint="eastAsia" w:ascii="仿宋" w:hAnsi="仿宋" w:eastAsia="仿宋" w:cs="仿宋"/>
          <w:color w:val="auto"/>
          <w:sz w:val="24"/>
          <w:szCs w:val="24"/>
        </w:rPr>
        <w:t>地    点：</w:t>
      </w:r>
      <w:r>
        <w:rPr>
          <w:rFonts w:hint="eastAsia" w:ascii="仿宋" w:hAnsi="仿宋" w:eastAsia="仿宋" w:cs="仿宋"/>
          <w:b/>
          <w:bCs/>
          <w:color w:val="auto"/>
          <w:sz w:val="24"/>
          <w:szCs w:val="24"/>
          <w:u w:val="single"/>
          <w:lang w:val="en-US" w:eastAsia="zh-CN"/>
        </w:rPr>
        <w:t>昆明市</w:t>
      </w:r>
    </w:p>
    <w:p w14:paraId="43574607">
      <w:pPr>
        <w:spacing w:line="440" w:lineRule="exact"/>
        <w:ind w:firstLine="480" w:firstLineChars="200"/>
        <w:rPr>
          <w:rFonts w:hint="eastAsia" w:ascii="仿宋" w:hAnsi="仿宋" w:eastAsia="仿宋" w:cs="仿宋"/>
          <w:b w:val="0"/>
          <w:bCs/>
          <w:color w:val="auto"/>
          <w:sz w:val="24"/>
          <w:szCs w:val="24"/>
          <w:u w:val="single"/>
        </w:rPr>
      </w:pPr>
      <w:r>
        <w:rPr>
          <w:rFonts w:hint="eastAsia" w:ascii="仿宋" w:hAnsi="仿宋" w:eastAsia="仿宋" w:cs="仿宋"/>
          <w:color w:val="auto"/>
          <w:sz w:val="24"/>
          <w:szCs w:val="24"/>
        </w:rPr>
        <w:t>采购内容：</w:t>
      </w:r>
      <w:r>
        <w:rPr>
          <w:rFonts w:hint="eastAsia" w:ascii="仿宋" w:hAnsi="仿宋" w:eastAsia="仿宋" w:cs="仿宋"/>
          <w:b/>
          <w:bCs/>
          <w:color w:val="auto"/>
          <w:sz w:val="24"/>
          <w:szCs w:val="24"/>
          <w:u w:val="single"/>
          <w:lang w:val="en-US" w:eastAsia="zh-CN"/>
        </w:rPr>
        <w:t>含</w:t>
      </w:r>
      <w:r>
        <w:rPr>
          <w:rFonts w:hint="eastAsia" w:ascii="仿宋" w:hAnsi="仿宋" w:eastAsia="仿宋" w:cs="仿宋"/>
          <w:b/>
          <w:bCs/>
          <w:color w:val="auto"/>
          <w:sz w:val="24"/>
          <w:szCs w:val="24"/>
          <w:u w:val="single"/>
          <w:lang w:val="zh-CN"/>
        </w:rPr>
        <w:t>云南省昆明市官渡区人民政府长水街道办事处</w:t>
      </w:r>
      <w:r>
        <w:rPr>
          <w:rFonts w:hint="eastAsia" w:ascii="仿宋" w:hAnsi="仿宋" w:eastAsia="仿宋" w:cs="仿宋"/>
          <w:b/>
          <w:bCs/>
          <w:color w:val="auto"/>
          <w:sz w:val="24"/>
          <w:szCs w:val="24"/>
          <w:u w:val="single"/>
          <w:lang w:val="en-US" w:eastAsia="zh-CN"/>
        </w:rPr>
        <w:t>委托的所有项目</w:t>
      </w:r>
      <w:r>
        <w:rPr>
          <w:rFonts w:hint="eastAsia" w:ascii="仿宋" w:hAnsi="仿宋" w:eastAsia="仿宋" w:cs="仿宋"/>
          <w:color w:val="auto"/>
          <w:sz w:val="24"/>
          <w:szCs w:val="24"/>
          <w:lang w:val="en-US" w:eastAsia="zh-CN"/>
        </w:rPr>
        <w:t>。</w:t>
      </w:r>
    </w:p>
    <w:p w14:paraId="357E928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招标规模：</w:t>
      </w:r>
      <w:r>
        <w:rPr>
          <w:rFonts w:hint="eastAsia" w:ascii="仿宋" w:hAnsi="仿宋" w:eastAsia="仿宋" w:cs="仿宋"/>
          <w:b/>
          <w:bCs/>
          <w:color w:val="auto"/>
          <w:sz w:val="24"/>
          <w:szCs w:val="24"/>
          <w:u w:val="single"/>
        </w:rPr>
        <w:t>以委托的项目为准。</w:t>
      </w:r>
    </w:p>
    <w:p w14:paraId="32676D42">
      <w:pPr>
        <w:spacing w:line="440" w:lineRule="exact"/>
        <w:ind w:left="565" w:leftChars="267" w:hanging="4" w:hangingChars="2"/>
        <w:rPr>
          <w:rFonts w:hint="eastAsia" w:ascii="仿宋" w:hAnsi="仿宋" w:eastAsia="仿宋" w:cs="仿宋"/>
          <w:b/>
          <w:bCs/>
          <w:color w:val="auto"/>
          <w:sz w:val="24"/>
          <w:szCs w:val="24"/>
          <w:u w:val="single"/>
        </w:rPr>
      </w:pPr>
      <w:r>
        <w:rPr>
          <w:rFonts w:hint="eastAsia" w:ascii="仿宋" w:hAnsi="仿宋" w:eastAsia="仿宋" w:cs="仿宋"/>
          <w:color w:val="auto"/>
          <w:sz w:val="24"/>
          <w:szCs w:val="24"/>
        </w:rPr>
        <w:t>总投资额：</w:t>
      </w:r>
      <w:r>
        <w:rPr>
          <w:rFonts w:hint="eastAsia" w:ascii="仿宋" w:hAnsi="仿宋" w:eastAsia="仿宋" w:cs="仿宋"/>
          <w:b/>
          <w:bCs/>
          <w:color w:val="auto"/>
          <w:sz w:val="24"/>
          <w:szCs w:val="24"/>
          <w:u w:val="single"/>
        </w:rPr>
        <w:t>以委托的项目为准。</w:t>
      </w:r>
    </w:p>
    <w:p w14:paraId="1079BF7E">
      <w:pPr>
        <w:pStyle w:val="26"/>
        <w:ind w:left="0" w:leftChars="0" w:firstLine="480" w:firstLineChars="200"/>
        <w:rPr>
          <w:rFonts w:hint="eastAsia" w:ascii="仿宋" w:hAnsi="仿宋" w:eastAsia="仿宋" w:cs="仿宋"/>
          <w:b/>
          <w:bCs/>
          <w:color w:val="auto"/>
          <w:sz w:val="24"/>
          <w:szCs w:val="24"/>
          <w:u w:val="single"/>
          <w:lang w:val="en-US" w:eastAsia="zh-CN"/>
        </w:rPr>
      </w:pPr>
      <w:r>
        <w:rPr>
          <w:rFonts w:hint="eastAsia" w:ascii="仿宋" w:hAnsi="仿宋" w:eastAsia="仿宋" w:cs="仿宋"/>
          <w:b w:val="0"/>
          <w:bCs w:val="0"/>
          <w:color w:val="auto"/>
          <w:sz w:val="24"/>
          <w:szCs w:val="24"/>
          <w:u w:val="none"/>
          <w:lang w:val="en-US" w:eastAsia="zh-CN"/>
        </w:rPr>
        <w:t>服务期限：</w:t>
      </w:r>
      <w:r>
        <w:rPr>
          <w:rFonts w:hint="eastAsia" w:ascii="仿宋" w:hAnsi="仿宋" w:eastAsia="仿宋" w:cs="仿宋"/>
          <w:b/>
          <w:bCs/>
          <w:color w:val="auto"/>
          <w:sz w:val="24"/>
          <w:szCs w:val="24"/>
          <w:u w:val="single"/>
          <w:lang w:val="en-US" w:eastAsia="zh-CN"/>
        </w:rPr>
        <w:t>2025年   月   日至202</w:t>
      </w:r>
      <w:r>
        <w:rPr>
          <w:rFonts w:hint="eastAsia" w:ascii="仿宋" w:hAnsi="仿宋" w:eastAsia="仿宋" w:cs="仿宋"/>
          <w:b/>
          <w:bCs/>
          <w:strike w:val="0"/>
          <w:color w:val="auto"/>
          <w:sz w:val="24"/>
          <w:szCs w:val="24"/>
          <w:u w:val="single"/>
          <w:lang w:val="en-US" w:eastAsia="zh-CN"/>
        </w:rPr>
        <w:t>6</w:t>
      </w:r>
      <w:r>
        <w:rPr>
          <w:rFonts w:hint="eastAsia" w:ascii="仿宋" w:hAnsi="仿宋" w:eastAsia="仿宋" w:cs="仿宋"/>
          <w:b/>
          <w:bCs/>
          <w:color w:val="auto"/>
          <w:sz w:val="24"/>
          <w:szCs w:val="24"/>
          <w:u w:val="single"/>
          <w:lang w:val="en-US" w:eastAsia="zh-CN"/>
        </w:rPr>
        <w:t>年  月  日</w:t>
      </w:r>
    </w:p>
    <w:p w14:paraId="0E1A1E3D">
      <w:pPr>
        <w:spacing w:line="440" w:lineRule="exact"/>
        <w:ind w:firstLine="480" w:firstLineChars="200"/>
        <w:jc w:val="left"/>
        <w:rPr>
          <w:rFonts w:hint="eastAsia" w:ascii="仿宋" w:hAnsi="仿宋" w:eastAsia="仿宋" w:cs="仿宋"/>
          <w:b/>
          <w:color w:val="auto"/>
          <w:sz w:val="24"/>
          <w:szCs w:val="24"/>
          <w:u w:val="single"/>
        </w:rPr>
      </w:pPr>
      <w:r>
        <w:rPr>
          <w:rFonts w:hint="eastAsia" w:ascii="仿宋" w:hAnsi="仿宋" w:eastAsia="仿宋" w:cs="仿宋"/>
          <w:color w:val="auto"/>
          <w:sz w:val="24"/>
          <w:szCs w:val="24"/>
        </w:rPr>
        <w:t>二、委托人委托受托人</w:t>
      </w:r>
      <w:r>
        <w:rPr>
          <w:rFonts w:hint="eastAsia" w:ascii="仿宋" w:hAnsi="仿宋" w:eastAsia="仿宋" w:cs="仿宋"/>
          <w:b/>
          <w:bCs/>
          <w:color w:val="auto"/>
          <w:sz w:val="24"/>
          <w:szCs w:val="24"/>
          <w:u w:val="none"/>
          <w:lang w:eastAsia="zh-CN"/>
        </w:rPr>
        <w:t>：</w:t>
      </w:r>
      <w:r>
        <w:rPr>
          <w:rFonts w:hint="eastAsia" w:ascii="仿宋" w:hAnsi="仿宋" w:eastAsia="仿宋" w:cs="仿宋"/>
          <w:b/>
          <w:bCs/>
          <w:color w:val="auto"/>
          <w:sz w:val="24"/>
          <w:szCs w:val="24"/>
          <w:u w:val="single"/>
          <w:lang w:eastAsia="zh-CN"/>
        </w:rPr>
        <w:t xml:space="preserve"> </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为本</w:t>
      </w:r>
      <w:r>
        <w:rPr>
          <w:rFonts w:hint="eastAsia" w:ascii="仿宋" w:hAnsi="仿宋" w:eastAsia="仿宋" w:cs="仿宋"/>
          <w:strike w:val="0"/>
          <w:color w:val="auto"/>
          <w:sz w:val="24"/>
          <w:szCs w:val="24"/>
          <w:lang w:val="en-US" w:eastAsia="zh-CN"/>
        </w:rPr>
        <w:t>单位</w:t>
      </w:r>
      <w:r>
        <w:rPr>
          <w:rFonts w:hint="eastAsia" w:ascii="仿宋" w:hAnsi="仿宋" w:eastAsia="仿宋" w:cs="仿宋"/>
          <w:color w:val="auto"/>
          <w:sz w:val="24"/>
          <w:szCs w:val="24"/>
        </w:rPr>
        <w:t>的招标代理</w:t>
      </w:r>
      <w:r>
        <w:rPr>
          <w:rFonts w:hint="eastAsia" w:ascii="仿宋" w:hAnsi="仿宋" w:eastAsia="仿宋" w:cs="仿宋"/>
          <w:strike w:val="0"/>
          <w:color w:val="auto"/>
          <w:sz w:val="24"/>
          <w:szCs w:val="24"/>
          <w:lang w:val="en-US" w:eastAsia="zh-CN"/>
        </w:rPr>
        <w:t>服务单位</w:t>
      </w:r>
      <w:r>
        <w:rPr>
          <w:rFonts w:hint="eastAsia" w:ascii="仿宋" w:hAnsi="仿宋" w:eastAsia="仿宋" w:cs="仿宋"/>
          <w:color w:val="auto"/>
          <w:sz w:val="24"/>
          <w:szCs w:val="24"/>
        </w:rPr>
        <w:t>，承担</w:t>
      </w:r>
      <w:r>
        <w:rPr>
          <w:rFonts w:hint="eastAsia" w:ascii="仿宋" w:hAnsi="仿宋" w:eastAsia="仿宋" w:cs="仿宋"/>
          <w:color w:val="auto"/>
          <w:sz w:val="21"/>
          <w:szCs w:val="21"/>
          <w:lang w:val="en-US" w:eastAsia="zh-CN"/>
        </w:rPr>
        <w:t>长水街道办事处以及昆明长水国际机场改扩建工程和配套项目建设长水街道安置搬迁工作指挥部</w:t>
      </w:r>
      <w:r>
        <w:rPr>
          <w:rFonts w:hint="eastAsia" w:ascii="仿宋" w:hAnsi="仿宋" w:eastAsia="仿宋" w:cs="仿宋"/>
          <w:color w:val="auto"/>
          <w:sz w:val="21"/>
          <w:szCs w:val="21"/>
          <w:lang w:eastAsia="zh-CN"/>
        </w:rPr>
        <w:t>所需的货物、服务、工程项目</w:t>
      </w:r>
      <w:r>
        <w:rPr>
          <w:rFonts w:hint="eastAsia" w:ascii="仿宋" w:hAnsi="仿宋" w:eastAsia="仿宋" w:cs="仿宋"/>
          <w:color w:val="auto"/>
          <w:sz w:val="21"/>
          <w:szCs w:val="21"/>
          <w:lang w:val="en-US" w:eastAsia="zh-CN"/>
        </w:rPr>
        <w:t>等各类</w:t>
      </w:r>
      <w:r>
        <w:rPr>
          <w:rFonts w:hint="eastAsia" w:ascii="仿宋" w:hAnsi="仿宋" w:eastAsia="仿宋" w:cs="仿宋"/>
          <w:color w:val="auto"/>
          <w:sz w:val="21"/>
          <w:szCs w:val="21"/>
          <w:lang w:eastAsia="zh-CN"/>
        </w:rPr>
        <w:t>招标代理服务</w:t>
      </w:r>
      <w:r>
        <w:rPr>
          <w:rFonts w:hint="eastAsia" w:ascii="仿宋" w:hAnsi="仿宋" w:eastAsia="仿宋" w:cs="仿宋"/>
          <w:color w:val="auto"/>
          <w:sz w:val="24"/>
          <w:szCs w:val="24"/>
        </w:rPr>
        <w:t>。</w:t>
      </w:r>
    </w:p>
    <w:p w14:paraId="3BF5ECC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三、合同价款</w:t>
      </w:r>
    </w:p>
    <w:p w14:paraId="690E61D5">
      <w:pPr>
        <w:spacing w:line="440" w:lineRule="exact"/>
        <w:ind w:firstLine="480"/>
        <w:rPr>
          <w:rFonts w:hint="eastAsia" w:ascii="仿宋" w:hAnsi="仿宋" w:eastAsia="仿宋" w:cs="仿宋"/>
          <w:b/>
          <w:color w:val="auto"/>
          <w:sz w:val="24"/>
          <w:szCs w:val="24"/>
          <w:u w:val="single"/>
          <w:lang w:val="en-US" w:eastAsia="zh-CN"/>
        </w:rPr>
      </w:pPr>
      <w:r>
        <w:rPr>
          <w:rFonts w:hint="eastAsia" w:ascii="仿宋" w:hAnsi="仿宋" w:eastAsia="仿宋" w:cs="仿宋"/>
          <w:color w:val="auto"/>
          <w:sz w:val="24"/>
          <w:szCs w:val="24"/>
        </w:rPr>
        <w:t>代理服务费的计算方法：</w:t>
      </w:r>
      <w:r>
        <w:rPr>
          <w:rFonts w:hint="eastAsia" w:ascii="仿宋" w:hAnsi="仿宋" w:eastAsia="仿宋" w:cs="仿宋"/>
          <w:b/>
          <w:color w:val="auto"/>
          <w:sz w:val="24"/>
          <w:szCs w:val="24"/>
          <w:u w:val="single"/>
          <w:lang w:val="en-US" w:eastAsia="zh-CN"/>
        </w:rPr>
        <w:t xml:space="preserve">                      。</w:t>
      </w:r>
    </w:p>
    <w:p w14:paraId="0593EB70">
      <w:pPr>
        <w:spacing w:line="440" w:lineRule="exact"/>
        <w:ind w:firstLine="480"/>
        <w:rPr>
          <w:rFonts w:hint="eastAsia" w:ascii="仿宋" w:hAnsi="仿宋" w:eastAsia="仿宋" w:cs="仿宋"/>
          <w:b/>
          <w:color w:val="auto"/>
          <w:sz w:val="24"/>
          <w:szCs w:val="24"/>
          <w:u w:val="single"/>
        </w:rPr>
      </w:pPr>
      <w:r>
        <w:rPr>
          <w:rFonts w:hint="eastAsia" w:ascii="仿宋" w:hAnsi="仿宋" w:eastAsia="仿宋" w:cs="仿宋"/>
          <w:b w:val="0"/>
          <w:bCs/>
          <w:color w:val="auto"/>
          <w:sz w:val="24"/>
          <w:szCs w:val="24"/>
          <w:u w:val="none"/>
        </w:rPr>
        <w:t>代理服务费的支付方式：</w:t>
      </w:r>
      <w:r>
        <w:rPr>
          <w:rFonts w:hint="eastAsia" w:ascii="仿宋" w:hAnsi="仿宋" w:eastAsia="仿宋" w:cs="仿宋"/>
          <w:b/>
          <w:color w:val="auto"/>
          <w:sz w:val="24"/>
          <w:szCs w:val="24"/>
          <w:u w:val="single"/>
        </w:rPr>
        <w:t>代理项目招标工作完成后，由中标</w:t>
      </w:r>
      <w:r>
        <w:rPr>
          <w:rFonts w:hint="eastAsia" w:ascii="仿宋" w:hAnsi="仿宋" w:eastAsia="仿宋" w:cs="仿宋"/>
          <w:b/>
          <w:color w:val="auto"/>
          <w:sz w:val="24"/>
          <w:szCs w:val="24"/>
          <w:u w:val="single"/>
          <w:lang w:eastAsia="zh-CN"/>
        </w:rPr>
        <w:t>人领取中标通知书时</w:t>
      </w:r>
      <w:r>
        <w:rPr>
          <w:rFonts w:hint="eastAsia" w:ascii="仿宋" w:hAnsi="仿宋" w:eastAsia="仿宋" w:cs="仿宋"/>
          <w:b/>
          <w:color w:val="auto"/>
          <w:sz w:val="24"/>
          <w:szCs w:val="24"/>
          <w:u w:val="single"/>
        </w:rPr>
        <w:t>支付代理服务费</w:t>
      </w:r>
      <w:r>
        <w:rPr>
          <w:rFonts w:hint="eastAsia" w:ascii="仿宋" w:hAnsi="仿宋" w:eastAsia="仿宋" w:cs="仿宋"/>
          <w:b/>
          <w:color w:val="auto"/>
          <w:sz w:val="24"/>
          <w:szCs w:val="24"/>
          <w:u w:val="single"/>
          <w:lang w:eastAsia="zh-CN"/>
        </w:rPr>
        <w:t>。</w:t>
      </w:r>
    </w:p>
    <w:p w14:paraId="63CE2CE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四、组成本合同的文件：</w:t>
      </w:r>
    </w:p>
    <w:p w14:paraId="5BDCC35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1、本合同履行过程中双方以书面形式签署的补充和修正文件；</w:t>
      </w:r>
    </w:p>
    <w:p w14:paraId="2A64657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2、本合同协议书；</w:t>
      </w:r>
    </w:p>
    <w:p w14:paraId="2EA6E06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3、本合同专用条款；</w:t>
      </w:r>
    </w:p>
    <w:p w14:paraId="0BBA3F4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4、本合同通用条款。</w:t>
      </w:r>
    </w:p>
    <w:p w14:paraId="318CF479">
      <w:pPr>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在本合同履行期间，因本合同涉及项目产生的会议纪要、补充协议等文件，若存在前后表述不一致的，以最新签订的文件为准。</w:t>
      </w:r>
    </w:p>
    <w:p w14:paraId="3197E01B">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五、本协议书中的有关词语定义与本合同第一部分《通用条款》中分别赋予它们的定义相同。</w:t>
      </w:r>
    </w:p>
    <w:p w14:paraId="1C914B6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六、受托人向委托人承诺，按照本合同的约定，承担本合同专用条款中约定范围内的代理业务。</w:t>
      </w:r>
    </w:p>
    <w:p w14:paraId="2D83AED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七、委托人向受托人承诺，按照本合同的约定，确保代理服务费的支付。</w:t>
      </w:r>
    </w:p>
    <w:p w14:paraId="5B7E38A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八、合同订立</w:t>
      </w:r>
    </w:p>
    <w:p w14:paraId="6D504499">
      <w:pPr>
        <w:spacing w:line="440" w:lineRule="exact"/>
        <w:ind w:firstLine="480" w:firstLineChars="200"/>
        <w:rPr>
          <w:rFonts w:hint="eastAsia" w:ascii="仿宋" w:hAnsi="仿宋" w:eastAsia="仿宋" w:cs="仿宋"/>
          <w:b/>
          <w:color w:val="auto"/>
          <w:sz w:val="24"/>
          <w:szCs w:val="24"/>
          <w:u w:val="single"/>
        </w:rPr>
      </w:pPr>
      <w:r>
        <w:rPr>
          <w:rFonts w:hint="eastAsia" w:ascii="仿宋" w:hAnsi="仿宋" w:eastAsia="仿宋" w:cs="仿宋"/>
          <w:color w:val="auto"/>
          <w:sz w:val="24"/>
          <w:szCs w:val="24"/>
        </w:rPr>
        <w:t>合同订立时间：</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b w:val="0"/>
          <w:bCs w:val="0"/>
          <w:color w:val="auto"/>
          <w:sz w:val="24"/>
          <w:szCs w:val="24"/>
          <w:u w:val="single"/>
        </w:rPr>
        <w:t>二○</w:t>
      </w:r>
      <w:r>
        <w:rPr>
          <w:rFonts w:hint="eastAsia" w:ascii="仿宋" w:hAnsi="仿宋" w:eastAsia="仿宋" w:cs="仿宋"/>
          <w:b w:val="0"/>
          <w:bCs w:val="0"/>
          <w:color w:val="auto"/>
          <w:sz w:val="24"/>
          <w:szCs w:val="24"/>
          <w:u w:val="single"/>
          <w:lang w:eastAsia="zh-CN"/>
        </w:rPr>
        <w:t>二</w:t>
      </w:r>
      <w:r>
        <w:rPr>
          <w:rFonts w:hint="eastAsia" w:ascii="仿宋" w:hAnsi="仿宋" w:eastAsia="仿宋" w:cs="仿宋"/>
          <w:b w:val="0"/>
          <w:bCs w:val="0"/>
          <w:color w:val="auto"/>
          <w:sz w:val="24"/>
          <w:szCs w:val="24"/>
          <w:u w:val="single"/>
          <w:lang w:val="en-US" w:eastAsia="zh-CN"/>
        </w:rPr>
        <w:t>五</w:t>
      </w:r>
      <w:r>
        <w:rPr>
          <w:rFonts w:hint="eastAsia" w:ascii="仿宋" w:hAnsi="仿宋" w:eastAsia="仿宋" w:cs="仿宋"/>
          <w:b w:val="0"/>
          <w:bCs w:val="0"/>
          <w:color w:val="auto"/>
          <w:sz w:val="24"/>
          <w:szCs w:val="24"/>
          <w:u w:val="single"/>
        </w:rPr>
        <w:t>年</w:t>
      </w:r>
      <w:r>
        <w:rPr>
          <w:rFonts w:hint="eastAsia" w:ascii="仿宋" w:hAnsi="仿宋" w:eastAsia="仿宋" w:cs="仿宋"/>
          <w:b w:val="0"/>
          <w:bCs w:val="0"/>
          <w:color w:val="auto"/>
          <w:sz w:val="24"/>
          <w:szCs w:val="24"/>
          <w:u w:val="single"/>
          <w:lang w:val="en-US" w:eastAsia="zh-CN"/>
        </w:rPr>
        <w:t>九</w:t>
      </w:r>
      <w:r>
        <w:rPr>
          <w:rFonts w:hint="eastAsia" w:ascii="仿宋" w:hAnsi="仿宋" w:eastAsia="仿宋" w:cs="仿宋"/>
          <w:b w:val="0"/>
          <w:bCs w:val="0"/>
          <w:color w:val="auto"/>
          <w:sz w:val="24"/>
          <w:szCs w:val="24"/>
          <w:u w:val="single"/>
        </w:rPr>
        <w:t>月</w:t>
      </w:r>
      <w:r>
        <w:rPr>
          <w:rFonts w:hint="eastAsia" w:ascii="仿宋" w:hAnsi="仿宋" w:eastAsia="仿宋" w:cs="仿宋"/>
          <w:b w:val="0"/>
          <w:bCs w:val="0"/>
          <w:color w:val="auto"/>
          <w:sz w:val="24"/>
          <w:szCs w:val="24"/>
          <w:u w:val="none"/>
          <w:lang w:val="en-US" w:eastAsia="zh-CN"/>
        </w:rPr>
        <w:t xml:space="preserve">  </w:t>
      </w:r>
      <w:r>
        <w:rPr>
          <w:rFonts w:hint="eastAsia" w:ascii="仿宋" w:hAnsi="仿宋" w:eastAsia="仿宋" w:cs="仿宋"/>
          <w:b w:val="0"/>
          <w:bCs w:val="0"/>
          <w:color w:val="auto"/>
          <w:sz w:val="24"/>
          <w:szCs w:val="24"/>
          <w:u w:val="none"/>
        </w:rPr>
        <w:t xml:space="preserve"> </w:t>
      </w:r>
    </w:p>
    <w:p w14:paraId="659D537B">
      <w:pPr>
        <w:spacing w:line="440" w:lineRule="exact"/>
        <w:ind w:firstLine="480" w:firstLineChars="200"/>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rPr>
        <w:t>合同订立地点：</w:t>
      </w:r>
      <w:r>
        <w:rPr>
          <w:rFonts w:hint="eastAsia" w:ascii="仿宋" w:hAnsi="仿宋" w:eastAsia="仿宋" w:cs="仿宋"/>
          <w:color w:val="auto"/>
          <w:sz w:val="24"/>
          <w:szCs w:val="24"/>
          <w:u w:val="single"/>
          <w:lang w:val="en-US" w:eastAsia="zh-CN"/>
        </w:rPr>
        <w:t xml:space="preserve"> 昆明市官渡区人民政府长水街道办事处昆明市官渡区滇中保障房宝河家园（C3地块）11栋。</w:t>
      </w:r>
    </w:p>
    <w:p w14:paraId="7C6A81A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九、合同生效</w:t>
      </w:r>
    </w:p>
    <w:p w14:paraId="3F1398B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本合同双方约定</w:t>
      </w:r>
      <w:r>
        <w:rPr>
          <w:rFonts w:hint="eastAsia" w:ascii="仿宋" w:hAnsi="仿宋" w:eastAsia="仿宋" w:cs="仿宋"/>
          <w:b/>
          <w:color w:val="auto"/>
          <w:sz w:val="24"/>
          <w:szCs w:val="24"/>
          <w:u w:val="single"/>
        </w:rPr>
        <w:t>自合同</w:t>
      </w:r>
      <w:r>
        <w:rPr>
          <w:rFonts w:hint="eastAsia" w:ascii="仿宋" w:hAnsi="仿宋" w:eastAsia="仿宋" w:cs="仿宋"/>
          <w:b/>
          <w:color w:val="auto"/>
          <w:sz w:val="21"/>
          <w:szCs w:val="21"/>
          <w:u w:val="single"/>
          <w:lang w:val="en-US" w:eastAsia="zh-CN"/>
        </w:rPr>
        <w:t>双方法定代表人或授权代理人</w:t>
      </w:r>
      <w:r>
        <w:rPr>
          <w:rFonts w:hint="eastAsia" w:ascii="仿宋" w:hAnsi="仿宋" w:eastAsia="仿宋" w:cs="仿宋"/>
          <w:b/>
          <w:color w:val="auto"/>
          <w:sz w:val="24"/>
          <w:szCs w:val="24"/>
          <w:u w:val="single"/>
        </w:rPr>
        <w:t>签字盖章</w:t>
      </w:r>
      <w:r>
        <w:rPr>
          <w:rFonts w:hint="eastAsia" w:ascii="仿宋" w:hAnsi="仿宋" w:eastAsia="仿宋" w:cs="仿宋"/>
          <w:color w:val="auto"/>
          <w:sz w:val="24"/>
          <w:szCs w:val="24"/>
        </w:rPr>
        <w:t>后生效。</w:t>
      </w:r>
    </w:p>
    <w:p w14:paraId="6F108ED9">
      <w:pPr>
        <w:spacing w:line="440" w:lineRule="exact"/>
        <w:ind w:firstLine="420" w:firstLineChars="200"/>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未尽事宜，合同双方当事人另行签订书面协议</w:t>
      </w:r>
      <w:r>
        <w:rPr>
          <w:rFonts w:hint="eastAsia" w:ascii="仿宋" w:hAnsi="仿宋" w:eastAsia="仿宋" w:cs="仿宋"/>
          <w:color w:val="auto"/>
          <w:sz w:val="21"/>
          <w:szCs w:val="21"/>
        </w:rPr>
        <w:t>。</w:t>
      </w:r>
    </w:p>
    <w:p w14:paraId="47A270E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br w:type="page"/>
      </w:r>
      <w:r>
        <w:rPr>
          <w:rFonts w:hint="eastAsia" w:ascii="仿宋" w:hAnsi="仿宋" w:eastAsia="仿宋" w:cs="仿宋"/>
          <w:b/>
          <w:bCs/>
          <w:color w:val="auto"/>
          <w:sz w:val="24"/>
          <w:szCs w:val="24"/>
        </w:rPr>
        <w:t>合同签署页（此页无正文）</w:t>
      </w:r>
    </w:p>
    <w:tbl>
      <w:tblPr>
        <w:tblStyle w:val="28"/>
        <w:tblW w:w="9662" w:type="dxa"/>
        <w:tblInd w:w="-14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4"/>
        <w:gridCol w:w="4478"/>
      </w:tblGrid>
      <w:tr w14:paraId="3F3F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4" w:type="dxa"/>
            <w:tcBorders>
              <w:tl2br w:val="nil"/>
              <w:tr2bl w:val="nil"/>
            </w:tcBorders>
            <w:noWrap w:val="0"/>
            <w:vAlign w:val="top"/>
          </w:tcPr>
          <w:p w14:paraId="42708DB0">
            <w:pPr>
              <w:widowControl w:val="0"/>
              <w:spacing w:line="480" w:lineRule="auto"/>
              <w:jc w:val="left"/>
              <w:textAlignment w:val="auto"/>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委托人（甲方）名称：云南省昆明市官渡区人民政府长水街道办事处（盖章）</w:t>
            </w:r>
          </w:p>
          <w:p w14:paraId="4F593C79">
            <w:pPr>
              <w:widowControl w:val="0"/>
              <w:spacing w:line="480" w:lineRule="auto"/>
              <w:jc w:val="left"/>
              <w:textAlignment w:val="auto"/>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法定代表人</w:t>
            </w:r>
            <w:r>
              <w:rPr>
                <w:rFonts w:hint="eastAsia" w:ascii="仿宋" w:hAnsi="仿宋" w:eastAsia="仿宋" w:cs="仿宋"/>
                <w:color w:val="auto"/>
                <w:sz w:val="22"/>
                <w:szCs w:val="22"/>
                <w:lang w:val="zh-CN"/>
              </w:rPr>
              <w:t>（签字或签章）</w:t>
            </w:r>
            <w:r>
              <w:rPr>
                <w:rFonts w:hint="eastAsia" w:ascii="仿宋" w:hAnsi="仿宋" w:eastAsia="仿宋" w:cs="仿宋"/>
                <w:color w:val="auto"/>
                <w:spacing w:val="26"/>
                <w:sz w:val="22"/>
                <w:szCs w:val="22"/>
              </w:rPr>
              <w:t>：</w:t>
            </w:r>
          </w:p>
          <w:p w14:paraId="7E971BF6">
            <w:pPr>
              <w:widowControl w:val="0"/>
              <w:spacing w:line="480" w:lineRule="auto"/>
              <w:jc w:val="left"/>
              <w:textAlignment w:val="auto"/>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或授权代理人：</w:t>
            </w:r>
          </w:p>
          <w:p w14:paraId="163FC20E">
            <w:pPr>
              <w:widowControl w:val="0"/>
              <w:spacing w:line="480" w:lineRule="auto"/>
              <w:ind w:left="0" w:firstLine="0" w:firstLineChars="0"/>
              <w:jc w:val="left"/>
              <w:textAlignment w:val="auto"/>
              <w:rPr>
                <w:rFonts w:hint="eastAsia" w:ascii="仿宋" w:hAnsi="仿宋" w:eastAsia="仿宋" w:cs="仿宋"/>
                <w:color w:val="auto"/>
                <w:spacing w:val="26"/>
                <w:sz w:val="22"/>
                <w:szCs w:val="22"/>
                <w:lang w:eastAsia="zh-CN"/>
              </w:rPr>
            </w:pPr>
            <w:r>
              <w:rPr>
                <w:rFonts w:hint="eastAsia" w:ascii="仿宋" w:hAnsi="仿宋" w:eastAsia="仿宋" w:cs="仿宋"/>
                <w:color w:val="auto"/>
                <w:spacing w:val="26"/>
                <w:sz w:val="22"/>
                <w:szCs w:val="22"/>
              </w:rPr>
              <w:t>地址：</w:t>
            </w:r>
            <w:r>
              <w:rPr>
                <w:rFonts w:hint="eastAsia" w:ascii="仿宋" w:hAnsi="仿宋" w:eastAsia="仿宋" w:cs="仿宋"/>
                <w:color w:val="auto"/>
                <w:spacing w:val="26"/>
                <w:sz w:val="22"/>
                <w:szCs w:val="22"/>
                <w:lang w:val="en-US" w:eastAsia="zh-CN"/>
              </w:rPr>
              <w:t xml:space="preserve"> </w:t>
            </w:r>
          </w:p>
          <w:p w14:paraId="5D4AF680">
            <w:pPr>
              <w:widowControl w:val="0"/>
              <w:spacing w:line="480" w:lineRule="auto"/>
              <w:jc w:val="left"/>
              <w:textAlignment w:val="auto"/>
              <w:rPr>
                <w:rFonts w:hint="eastAsia" w:ascii="仿宋" w:hAnsi="仿宋" w:eastAsia="仿宋" w:cs="仿宋"/>
                <w:color w:val="auto"/>
                <w:spacing w:val="26"/>
                <w:sz w:val="22"/>
                <w:szCs w:val="22"/>
              </w:rPr>
            </w:pPr>
          </w:p>
          <w:p w14:paraId="0F88DC01">
            <w:pPr>
              <w:widowControl w:val="0"/>
              <w:spacing w:line="480" w:lineRule="auto"/>
              <w:jc w:val="left"/>
              <w:textAlignment w:val="auto"/>
              <w:rPr>
                <w:rFonts w:hint="eastAsia" w:ascii="仿宋" w:hAnsi="仿宋" w:eastAsia="仿宋" w:cs="仿宋"/>
                <w:color w:val="auto"/>
                <w:spacing w:val="26"/>
                <w:sz w:val="22"/>
                <w:szCs w:val="22"/>
                <w:lang w:eastAsia="zh-CN"/>
              </w:rPr>
            </w:pPr>
            <w:r>
              <w:rPr>
                <w:rFonts w:hint="eastAsia" w:ascii="仿宋" w:hAnsi="仿宋" w:eastAsia="仿宋" w:cs="仿宋"/>
                <w:color w:val="auto"/>
                <w:spacing w:val="26"/>
                <w:sz w:val="22"/>
                <w:szCs w:val="22"/>
              </w:rPr>
              <w:t>邮政编码：</w:t>
            </w:r>
            <w:r>
              <w:rPr>
                <w:rFonts w:hint="eastAsia" w:ascii="仿宋" w:hAnsi="仿宋" w:eastAsia="仿宋" w:cs="仿宋"/>
                <w:color w:val="auto"/>
                <w:spacing w:val="26"/>
                <w:sz w:val="22"/>
                <w:szCs w:val="22"/>
                <w:lang w:val="en-US" w:eastAsia="zh-CN"/>
              </w:rPr>
              <w:t xml:space="preserve"> </w:t>
            </w:r>
          </w:p>
          <w:p w14:paraId="7C1052D8">
            <w:pPr>
              <w:widowControl w:val="0"/>
              <w:spacing w:line="480" w:lineRule="auto"/>
              <w:jc w:val="left"/>
              <w:textAlignment w:val="auto"/>
              <w:rPr>
                <w:rFonts w:hint="eastAsia" w:ascii="仿宋" w:hAnsi="仿宋" w:eastAsia="仿宋" w:cs="仿宋"/>
                <w:color w:val="auto"/>
                <w:spacing w:val="26"/>
                <w:sz w:val="22"/>
                <w:szCs w:val="22"/>
                <w:lang w:val="en-US" w:eastAsia="zh-CN"/>
              </w:rPr>
            </w:pPr>
            <w:r>
              <w:rPr>
                <w:rFonts w:hint="eastAsia" w:ascii="仿宋" w:hAnsi="仿宋" w:eastAsia="仿宋" w:cs="仿宋"/>
                <w:color w:val="auto"/>
                <w:spacing w:val="26"/>
                <w:sz w:val="22"/>
                <w:szCs w:val="22"/>
              </w:rPr>
              <w:t>电话：</w:t>
            </w:r>
            <w:r>
              <w:rPr>
                <w:rFonts w:hint="eastAsia" w:ascii="仿宋" w:hAnsi="仿宋" w:eastAsia="仿宋" w:cs="仿宋"/>
                <w:color w:val="auto"/>
                <w:spacing w:val="26"/>
                <w:sz w:val="22"/>
                <w:szCs w:val="22"/>
                <w:lang w:val="en-US" w:eastAsia="zh-CN"/>
              </w:rPr>
              <w:t xml:space="preserve"> </w:t>
            </w:r>
          </w:p>
          <w:p w14:paraId="7EBC7F92">
            <w:pPr>
              <w:widowControl w:val="0"/>
              <w:spacing w:line="480" w:lineRule="auto"/>
              <w:jc w:val="left"/>
              <w:textAlignment w:val="auto"/>
              <w:rPr>
                <w:rFonts w:hint="eastAsia" w:ascii="仿宋" w:hAnsi="仿宋" w:eastAsia="仿宋" w:cs="仿宋"/>
                <w:color w:val="auto"/>
                <w:spacing w:val="26"/>
                <w:sz w:val="22"/>
                <w:szCs w:val="22"/>
                <w:lang w:val="en-US" w:eastAsia="zh-CN"/>
              </w:rPr>
            </w:pPr>
            <w:r>
              <w:rPr>
                <w:rFonts w:hint="eastAsia" w:ascii="仿宋" w:hAnsi="仿宋" w:eastAsia="仿宋" w:cs="仿宋"/>
                <w:color w:val="auto"/>
                <w:spacing w:val="26"/>
                <w:sz w:val="22"/>
                <w:szCs w:val="22"/>
              </w:rPr>
              <w:t>开户银行：</w:t>
            </w:r>
            <w:r>
              <w:rPr>
                <w:rFonts w:hint="eastAsia" w:ascii="仿宋" w:hAnsi="仿宋" w:eastAsia="仿宋" w:cs="仿宋"/>
                <w:color w:val="auto"/>
                <w:spacing w:val="26"/>
                <w:sz w:val="22"/>
                <w:szCs w:val="22"/>
                <w:lang w:val="en-US" w:eastAsia="zh-CN"/>
              </w:rPr>
              <w:t xml:space="preserve">  </w:t>
            </w:r>
          </w:p>
          <w:p w14:paraId="3C8B704C">
            <w:pPr>
              <w:widowControl w:val="0"/>
              <w:spacing w:line="480" w:lineRule="auto"/>
              <w:jc w:val="left"/>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银行</w:t>
            </w:r>
            <w:r>
              <w:rPr>
                <w:rFonts w:hint="eastAsia" w:ascii="仿宋" w:hAnsi="仿宋" w:eastAsia="仿宋" w:cs="仿宋"/>
                <w:strike w:val="0"/>
                <w:color w:val="auto"/>
                <w:spacing w:val="26"/>
                <w:sz w:val="22"/>
                <w:szCs w:val="22"/>
                <w:lang w:val="en-US" w:eastAsia="zh-CN"/>
              </w:rPr>
              <w:t>账</w:t>
            </w:r>
            <w:r>
              <w:rPr>
                <w:rFonts w:hint="eastAsia" w:ascii="仿宋" w:hAnsi="仿宋" w:eastAsia="仿宋" w:cs="仿宋"/>
                <w:color w:val="auto"/>
                <w:spacing w:val="26"/>
                <w:sz w:val="22"/>
                <w:szCs w:val="22"/>
              </w:rPr>
              <w:t>号：</w:t>
            </w:r>
            <w:r>
              <w:rPr>
                <w:rFonts w:hint="eastAsia" w:ascii="仿宋" w:hAnsi="仿宋" w:eastAsia="仿宋" w:cs="仿宋"/>
                <w:color w:val="auto"/>
                <w:kern w:val="0"/>
                <w:sz w:val="22"/>
                <w:szCs w:val="22"/>
                <w:highlight w:val="none"/>
                <w:u w:val="none"/>
                <w:lang w:val="en-US" w:eastAsia="zh-CN"/>
              </w:rPr>
              <w:t xml:space="preserve"> </w:t>
            </w:r>
          </w:p>
          <w:p w14:paraId="292E4FC6">
            <w:pPr>
              <w:widowControl w:val="0"/>
              <w:spacing w:line="480" w:lineRule="auto"/>
              <w:jc w:val="left"/>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签订日期：</w:t>
            </w:r>
            <w:r>
              <w:rPr>
                <w:rFonts w:hint="eastAsia" w:ascii="仿宋" w:hAnsi="仿宋" w:eastAsia="仿宋" w:cs="仿宋"/>
                <w:color w:val="auto"/>
                <w:spacing w:val="26"/>
                <w:sz w:val="22"/>
                <w:szCs w:val="22"/>
                <w:lang w:val="en-US" w:eastAsia="zh-CN"/>
              </w:rPr>
              <w:t xml:space="preserve"> </w:t>
            </w:r>
            <w:r>
              <w:rPr>
                <w:rFonts w:hint="eastAsia" w:ascii="仿宋" w:hAnsi="仿宋" w:eastAsia="仿宋" w:cs="仿宋"/>
                <w:color w:val="auto"/>
                <w:spacing w:val="26"/>
                <w:sz w:val="22"/>
                <w:szCs w:val="22"/>
                <w:lang w:eastAsia="zh-CN"/>
              </w:rPr>
              <w:t>年</w:t>
            </w:r>
            <w:r>
              <w:rPr>
                <w:rFonts w:hint="eastAsia" w:ascii="仿宋" w:hAnsi="仿宋" w:eastAsia="仿宋" w:cs="仿宋"/>
                <w:color w:val="auto"/>
                <w:spacing w:val="26"/>
                <w:sz w:val="22"/>
                <w:szCs w:val="22"/>
                <w:lang w:val="en-US" w:eastAsia="zh-CN"/>
              </w:rPr>
              <w:t xml:space="preserve">  </w:t>
            </w:r>
            <w:r>
              <w:rPr>
                <w:rFonts w:hint="eastAsia" w:ascii="仿宋" w:hAnsi="仿宋" w:eastAsia="仿宋" w:cs="仿宋"/>
                <w:color w:val="auto"/>
                <w:spacing w:val="26"/>
                <w:sz w:val="22"/>
                <w:szCs w:val="22"/>
              </w:rPr>
              <w:t>月</w:t>
            </w:r>
            <w:r>
              <w:rPr>
                <w:rFonts w:hint="eastAsia" w:ascii="仿宋" w:hAnsi="仿宋" w:eastAsia="仿宋" w:cs="仿宋"/>
                <w:color w:val="auto"/>
                <w:spacing w:val="26"/>
                <w:sz w:val="22"/>
                <w:szCs w:val="22"/>
                <w:lang w:val="en-US" w:eastAsia="zh-CN"/>
              </w:rPr>
              <w:t xml:space="preserve">   </w:t>
            </w:r>
            <w:r>
              <w:rPr>
                <w:rFonts w:hint="eastAsia" w:ascii="仿宋" w:hAnsi="仿宋" w:eastAsia="仿宋" w:cs="仿宋"/>
                <w:color w:val="auto"/>
                <w:spacing w:val="26"/>
                <w:sz w:val="22"/>
                <w:szCs w:val="22"/>
              </w:rPr>
              <w:t xml:space="preserve">日 </w:t>
            </w:r>
            <w:r>
              <w:rPr>
                <w:rFonts w:hint="eastAsia" w:ascii="仿宋" w:hAnsi="仿宋" w:eastAsia="仿宋" w:cs="仿宋"/>
                <w:color w:val="auto"/>
                <w:spacing w:val="26"/>
                <w:kern w:val="2"/>
                <w:sz w:val="22"/>
                <w:szCs w:val="22"/>
              </w:rPr>
              <w:t xml:space="preserve">     </w:t>
            </w:r>
            <w:r>
              <w:rPr>
                <w:rStyle w:val="85"/>
                <w:rFonts w:hint="eastAsia" w:ascii="仿宋" w:hAnsi="仿宋" w:eastAsia="仿宋" w:cs="仿宋"/>
                <w:color w:val="auto"/>
                <w:sz w:val="22"/>
                <w:szCs w:val="22"/>
              </w:rPr>
              <w:t xml:space="preserve">  </w:t>
            </w:r>
          </w:p>
        </w:tc>
        <w:tc>
          <w:tcPr>
            <w:tcW w:w="4478" w:type="dxa"/>
            <w:tcBorders>
              <w:tl2br w:val="nil"/>
              <w:tr2bl w:val="nil"/>
            </w:tcBorders>
            <w:noWrap w:val="0"/>
            <w:vAlign w:val="top"/>
          </w:tcPr>
          <w:p w14:paraId="21C9D755">
            <w:pPr>
              <w:widowControl w:val="0"/>
              <w:spacing w:line="480" w:lineRule="auto"/>
              <w:ind w:left="0" w:firstLine="0" w:firstLineChars="0"/>
              <w:jc w:val="left"/>
              <w:textAlignment w:val="auto"/>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受托人（乙方）名称：</w:t>
            </w:r>
            <w:r>
              <w:rPr>
                <w:rFonts w:hint="eastAsia" w:ascii="仿宋" w:hAnsi="仿宋" w:eastAsia="仿宋" w:cs="仿宋"/>
                <w:color w:val="auto"/>
                <w:spacing w:val="26"/>
                <w:sz w:val="22"/>
                <w:szCs w:val="22"/>
                <w:lang w:val="en-US" w:eastAsia="zh-CN"/>
              </w:rPr>
              <w:t xml:space="preserve">  </w:t>
            </w:r>
            <w:r>
              <w:rPr>
                <w:rFonts w:hint="eastAsia" w:ascii="仿宋" w:hAnsi="仿宋" w:eastAsia="仿宋" w:cs="仿宋"/>
                <w:color w:val="auto"/>
                <w:spacing w:val="26"/>
                <w:sz w:val="22"/>
                <w:szCs w:val="22"/>
              </w:rPr>
              <w:t>（盖章）</w:t>
            </w:r>
          </w:p>
          <w:p w14:paraId="65B148E8">
            <w:pPr>
              <w:widowControl w:val="0"/>
              <w:spacing w:line="480" w:lineRule="auto"/>
              <w:jc w:val="left"/>
              <w:textAlignment w:val="auto"/>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法定代表人</w:t>
            </w:r>
            <w:r>
              <w:rPr>
                <w:rFonts w:hint="eastAsia" w:ascii="仿宋" w:hAnsi="仿宋" w:eastAsia="仿宋" w:cs="仿宋"/>
                <w:color w:val="auto"/>
                <w:sz w:val="22"/>
                <w:szCs w:val="22"/>
                <w:lang w:val="zh-CN"/>
              </w:rPr>
              <w:t>（签字或签章）</w:t>
            </w:r>
            <w:r>
              <w:rPr>
                <w:rFonts w:hint="eastAsia" w:ascii="仿宋" w:hAnsi="仿宋" w:eastAsia="仿宋" w:cs="仿宋"/>
                <w:color w:val="auto"/>
                <w:spacing w:val="26"/>
                <w:sz w:val="22"/>
                <w:szCs w:val="22"/>
              </w:rPr>
              <w:t>：</w:t>
            </w:r>
          </w:p>
          <w:p w14:paraId="766A7D77">
            <w:pPr>
              <w:widowControl w:val="0"/>
              <w:spacing w:line="480" w:lineRule="auto"/>
              <w:jc w:val="left"/>
              <w:textAlignment w:val="auto"/>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或授权代理人：</w:t>
            </w:r>
          </w:p>
          <w:p w14:paraId="05048500">
            <w:pPr>
              <w:widowControl w:val="0"/>
              <w:spacing w:line="480" w:lineRule="auto"/>
              <w:ind w:left="876" w:hanging="816" w:hangingChars="300"/>
              <w:jc w:val="left"/>
              <w:textAlignment w:val="auto"/>
              <w:rPr>
                <w:rFonts w:hint="eastAsia" w:ascii="仿宋" w:hAnsi="仿宋" w:eastAsia="仿宋" w:cs="仿宋"/>
                <w:color w:val="auto"/>
                <w:spacing w:val="26"/>
                <w:sz w:val="22"/>
                <w:szCs w:val="22"/>
                <w:lang w:val="en-US" w:eastAsia="zh-CN"/>
              </w:rPr>
            </w:pPr>
            <w:r>
              <w:rPr>
                <w:rFonts w:hint="eastAsia" w:ascii="仿宋" w:hAnsi="仿宋" w:eastAsia="仿宋" w:cs="仿宋"/>
                <w:color w:val="auto"/>
                <w:spacing w:val="26"/>
                <w:sz w:val="22"/>
                <w:szCs w:val="22"/>
              </w:rPr>
              <w:t>地址：</w:t>
            </w:r>
            <w:r>
              <w:rPr>
                <w:rFonts w:hint="eastAsia" w:ascii="仿宋" w:hAnsi="仿宋" w:eastAsia="仿宋" w:cs="仿宋"/>
                <w:color w:val="auto"/>
                <w:spacing w:val="26"/>
                <w:sz w:val="22"/>
                <w:szCs w:val="22"/>
                <w:lang w:val="en-US" w:eastAsia="zh-CN"/>
              </w:rPr>
              <w:t xml:space="preserve"> </w:t>
            </w:r>
          </w:p>
          <w:p w14:paraId="71BAD9CA">
            <w:pPr>
              <w:widowControl w:val="0"/>
              <w:spacing w:line="480" w:lineRule="auto"/>
              <w:jc w:val="left"/>
              <w:textAlignment w:val="auto"/>
              <w:rPr>
                <w:rFonts w:hint="eastAsia" w:ascii="仿宋" w:hAnsi="仿宋" w:eastAsia="仿宋" w:cs="仿宋"/>
                <w:color w:val="auto"/>
                <w:spacing w:val="26"/>
                <w:sz w:val="22"/>
                <w:szCs w:val="22"/>
                <w:lang w:val="en-US" w:eastAsia="zh-CN"/>
              </w:rPr>
            </w:pPr>
            <w:r>
              <w:rPr>
                <w:rFonts w:hint="eastAsia" w:ascii="仿宋" w:hAnsi="仿宋" w:eastAsia="仿宋" w:cs="仿宋"/>
                <w:color w:val="auto"/>
                <w:spacing w:val="26"/>
                <w:sz w:val="22"/>
                <w:szCs w:val="22"/>
              </w:rPr>
              <w:t>邮政编码：</w:t>
            </w:r>
            <w:r>
              <w:rPr>
                <w:rFonts w:hint="eastAsia" w:ascii="仿宋" w:hAnsi="仿宋" w:eastAsia="仿宋" w:cs="仿宋"/>
                <w:color w:val="auto"/>
                <w:spacing w:val="26"/>
                <w:sz w:val="22"/>
                <w:szCs w:val="22"/>
                <w:lang w:val="en-US" w:eastAsia="zh-CN"/>
              </w:rPr>
              <w:t xml:space="preserve">  </w:t>
            </w:r>
          </w:p>
          <w:p w14:paraId="1CF9D4E6">
            <w:pPr>
              <w:widowControl w:val="0"/>
              <w:spacing w:line="480" w:lineRule="auto"/>
              <w:jc w:val="both"/>
              <w:textAlignment w:val="auto"/>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电话：</w:t>
            </w:r>
            <w:r>
              <w:rPr>
                <w:rFonts w:hint="eastAsia" w:ascii="仿宋" w:hAnsi="仿宋" w:eastAsia="仿宋" w:cs="仿宋"/>
                <w:color w:val="auto"/>
                <w:spacing w:val="26"/>
                <w:sz w:val="22"/>
                <w:szCs w:val="22"/>
                <w:lang w:val="en-US" w:eastAsia="zh-CN"/>
              </w:rPr>
              <w:t xml:space="preserve">  </w:t>
            </w:r>
            <w:r>
              <w:rPr>
                <w:rFonts w:hint="eastAsia" w:ascii="仿宋" w:hAnsi="仿宋" w:eastAsia="仿宋" w:cs="仿宋"/>
                <w:color w:val="auto"/>
                <w:spacing w:val="26"/>
                <w:sz w:val="22"/>
                <w:szCs w:val="22"/>
              </w:rPr>
              <w:t xml:space="preserve"> </w:t>
            </w:r>
            <w:r>
              <w:rPr>
                <w:rFonts w:hint="eastAsia" w:ascii="仿宋" w:hAnsi="仿宋" w:eastAsia="仿宋" w:cs="仿宋"/>
                <w:color w:val="auto"/>
                <w:spacing w:val="26"/>
                <w:sz w:val="22"/>
                <w:szCs w:val="22"/>
                <w:lang w:val="en-US" w:eastAsia="zh-CN"/>
              </w:rPr>
              <w:t xml:space="preserve"> </w:t>
            </w:r>
          </w:p>
          <w:p w14:paraId="56573C61">
            <w:pPr>
              <w:widowControl w:val="0"/>
              <w:spacing w:line="480" w:lineRule="auto"/>
              <w:ind w:left="1460" w:hanging="1360" w:hangingChars="500"/>
              <w:jc w:val="both"/>
              <w:rPr>
                <w:rFonts w:hint="eastAsia" w:ascii="仿宋" w:hAnsi="仿宋" w:eastAsia="仿宋" w:cs="仿宋"/>
                <w:color w:val="auto"/>
                <w:sz w:val="22"/>
                <w:szCs w:val="22"/>
                <w:lang w:eastAsia="zh-CN"/>
              </w:rPr>
            </w:pPr>
            <w:r>
              <w:rPr>
                <w:rFonts w:hint="eastAsia" w:ascii="仿宋" w:hAnsi="仿宋" w:eastAsia="仿宋" w:cs="仿宋"/>
                <w:color w:val="auto"/>
                <w:spacing w:val="26"/>
                <w:sz w:val="22"/>
                <w:szCs w:val="22"/>
              </w:rPr>
              <w:t>开户银行：</w:t>
            </w:r>
            <w:r>
              <w:rPr>
                <w:rFonts w:hint="eastAsia" w:ascii="仿宋" w:hAnsi="仿宋" w:eastAsia="仿宋" w:cs="仿宋"/>
                <w:color w:val="auto"/>
                <w:spacing w:val="26"/>
                <w:sz w:val="22"/>
                <w:szCs w:val="22"/>
                <w:lang w:val="en-US" w:eastAsia="zh-CN"/>
              </w:rPr>
              <w:t xml:space="preserve">  </w:t>
            </w:r>
          </w:p>
          <w:p w14:paraId="2D9643AF">
            <w:pPr>
              <w:widowControl w:val="0"/>
              <w:spacing w:line="480" w:lineRule="auto"/>
              <w:ind w:left="0" w:firstLine="0" w:firstLineChars="0"/>
              <w:jc w:val="left"/>
              <w:textAlignment w:val="auto"/>
              <w:rPr>
                <w:rFonts w:hint="eastAsia" w:ascii="仿宋" w:hAnsi="仿宋" w:eastAsia="仿宋" w:cs="仿宋"/>
                <w:color w:val="auto"/>
                <w:spacing w:val="26"/>
                <w:sz w:val="22"/>
                <w:szCs w:val="22"/>
                <w:lang w:val="en-US" w:eastAsia="zh-CN"/>
              </w:rPr>
            </w:pPr>
            <w:r>
              <w:rPr>
                <w:rFonts w:hint="eastAsia" w:ascii="仿宋" w:hAnsi="仿宋" w:eastAsia="仿宋" w:cs="仿宋"/>
                <w:color w:val="auto"/>
                <w:spacing w:val="26"/>
                <w:sz w:val="22"/>
                <w:szCs w:val="22"/>
              </w:rPr>
              <w:t>银行</w:t>
            </w:r>
            <w:r>
              <w:rPr>
                <w:rFonts w:hint="eastAsia" w:ascii="仿宋" w:hAnsi="仿宋" w:eastAsia="仿宋" w:cs="仿宋"/>
                <w:strike w:val="0"/>
                <w:color w:val="auto"/>
                <w:spacing w:val="26"/>
                <w:sz w:val="22"/>
                <w:szCs w:val="22"/>
                <w:lang w:val="en-US" w:eastAsia="zh-CN"/>
              </w:rPr>
              <w:t>账</w:t>
            </w:r>
            <w:r>
              <w:rPr>
                <w:rFonts w:hint="eastAsia" w:ascii="仿宋" w:hAnsi="仿宋" w:eastAsia="仿宋" w:cs="仿宋"/>
                <w:color w:val="auto"/>
                <w:spacing w:val="26"/>
                <w:sz w:val="22"/>
                <w:szCs w:val="22"/>
              </w:rPr>
              <w:t>号：</w:t>
            </w:r>
            <w:r>
              <w:rPr>
                <w:rFonts w:hint="eastAsia" w:ascii="仿宋" w:hAnsi="仿宋" w:eastAsia="仿宋" w:cs="仿宋"/>
                <w:color w:val="auto"/>
                <w:sz w:val="22"/>
                <w:szCs w:val="22"/>
                <w:lang w:val="en-US" w:eastAsia="zh-CN"/>
              </w:rPr>
              <w:t xml:space="preserve">  </w:t>
            </w:r>
          </w:p>
          <w:p w14:paraId="5F574528">
            <w:pPr>
              <w:widowControl w:val="0"/>
              <w:spacing w:line="480" w:lineRule="auto"/>
              <w:jc w:val="left"/>
              <w:rPr>
                <w:rFonts w:hint="eastAsia" w:ascii="仿宋" w:hAnsi="仿宋" w:eastAsia="仿宋" w:cs="仿宋"/>
                <w:color w:val="auto"/>
                <w:spacing w:val="26"/>
                <w:sz w:val="22"/>
                <w:szCs w:val="22"/>
                <w:lang w:val="en-US" w:eastAsia="zh-CN"/>
              </w:rPr>
            </w:pPr>
            <w:r>
              <w:rPr>
                <w:rFonts w:hint="eastAsia" w:ascii="仿宋" w:hAnsi="仿宋" w:eastAsia="仿宋" w:cs="仿宋"/>
                <w:color w:val="auto"/>
                <w:spacing w:val="26"/>
                <w:sz w:val="22"/>
                <w:szCs w:val="22"/>
                <w:lang w:val="en-US" w:eastAsia="zh-CN"/>
              </w:rPr>
              <w:t xml:space="preserve">    </w:t>
            </w:r>
          </w:p>
          <w:p w14:paraId="6D4DDF15">
            <w:pPr>
              <w:widowControl w:val="0"/>
              <w:spacing w:line="480" w:lineRule="auto"/>
              <w:jc w:val="left"/>
              <w:rPr>
                <w:rFonts w:hint="eastAsia" w:ascii="仿宋" w:hAnsi="仿宋" w:eastAsia="仿宋" w:cs="仿宋"/>
                <w:color w:val="auto"/>
                <w:spacing w:val="26"/>
                <w:sz w:val="22"/>
                <w:szCs w:val="22"/>
              </w:rPr>
            </w:pPr>
            <w:r>
              <w:rPr>
                <w:rFonts w:hint="eastAsia" w:ascii="仿宋" w:hAnsi="仿宋" w:eastAsia="仿宋" w:cs="仿宋"/>
                <w:color w:val="auto"/>
                <w:spacing w:val="26"/>
                <w:sz w:val="22"/>
                <w:szCs w:val="22"/>
              </w:rPr>
              <w:t>签订日期：</w:t>
            </w:r>
            <w:r>
              <w:rPr>
                <w:rFonts w:hint="eastAsia" w:ascii="仿宋" w:hAnsi="仿宋" w:eastAsia="仿宋" w:cs="仿宋"/>
                <w:color w:val="auto"/>
                <w:spacing w:val="26"/>
                <w:sz w:val="22"/>
                <w:szCs w:val="22"/>
                <w:lang w:val="en-US" w:eastAsia="zh-CN"/>
              </w:rPr>
              <w:t xml:space="preserve">   </w:t>
            </w:r>
            <w:r>
              <w:rPr>
                <w:rFonts w:hint="eastAsia" w:ascii="仿宋" w:hAnsi="仿宋" w:eastAsia="仿宋" w:cs="仿宋"/>
                <w:color w:val="auto"/>
                <w:spacing w:val="26"/>
                <w:sz w:val="22"/>
                <w:szCs w:val="22"/>
                <w:lang w:eastAsia="zh-CN"/>
              </w:rPr>
              <w:t>年</w:t>
            </w:r>
            <w:r>
              <w:rPr>
                <w:rFonts w:hint="eastAsia" w:ascii="仿宋" w:hAnsi="仿宋" w:eastAsia="仿宋" w:cs="仿宋"/>
                <w:color w:val="auto"/>
                <w:spacing w:val="26"/>
                <w:sz w:val="22"/>
                <w:szCs w:val="22"/>
                <w:lang w:val="en-US" w:eastAsia="zh-CN"/>
              </w:rPr>
              <w:t xml:space="preserve">   </w:t>
            </w:r>
            <w:r>
              <w:rPr>
                <w:rFonts w:hint="eastAsia" w:ascii="仿宋" w:hAnsi="仿宋" w:eastAsia="仿宋" w:cs="仿宋"/>
                <w:color w:val="auto"/>
                <w:spacing w:val="26"/>
                <w:sz w:val="22"/>
                <w:szCs w:val="22"/>
              </w:rPr>
              <w:t>月</w:t>
            </w:r>
            <w:r>
              <w:rPr>
                <w:rFonts w:hint="eastAsia" w:ascii="仿宋" w:hAnsi="仿宋" w:eastAsia="仿宋" w:cs="仿宋"/>
                <w:color w:val="auto"/>
                <w:spacing w:val="26"/>
                <w:sz w:val="22"/>
                <w:szCs w:val="22"/>
                <w:lang w:val="en-US" w:eastAsia="zh-CN"/>
              </w:rPr>
              <w:t xml:space="preserve">   </w:t>
            </w:r>
            <w:r>
              <w:rPr>
                <w:rFonts w:hint="eastAsia" w:ascii="仿宋" w:hAnsi="仿宋" w:eastAsia="仿宋" w:cs="仿宋"/>
                <w:color w:val="auto"/>
                <w:spacing w:val="26"/>
                <w:sz w:val="22"/>
                <w:szCs w:val="22"/>
              </w:rPr>
              <w:t>日</w:t>
            </w:r>
          </w:p>
        </w:tc>
      </w:tr>
    </w:tbl>
    <w:p w14:paraId="2D482000">
      <w:pPr>
        <w:spacing w:line="440" w:lineRule="exact"/>
        <w:ind w:firstLine="480" w:firstLineChars="200"/>
        <w:rPr>
          <w:rFonts w:hint="eastAsia" w:ascii="仿宋" w:hAnsi="仿宋" w:eastAsia="仿宋" w:cs="仿宋"/>
          <w:color w:val="auto"/>
          <w:sz w:val="24"/>
          <w:szCs w:val="24"/>
        </w:rPr>
      </w:pPr>
    </w:p>
    <w:p w14:paraId="26D80422">
      <w:pPr>
        <w:numPr>
          <w:ilvl w:val="0"/>
          <w:numId w:val="3"/>
        </w:numPr>
        <w:spacing w:line="0" w:lineRule="atLeast"/>
        <w:ind w:firstLine="480" w:firstLineChars="200"/>
        <w:jc w:val="center"/>
        <w:rPr>
          <w:rFonts w:hint="eastAsia" w:ascii="仿宋" w:hAnsi="仿宋" w:eastAsia="仿宋" w:cs="仿宋"/>
          <w:b/>
          <w:bCs/>
          <w:color w:val="auto"/>
          <w:sz w:val="32"/>
          <w:szCs w:val="32"/>
        </w:rPr>
      </w:pPr>
      <w:r>
        <w:rPr>
          <w:rFonts w:hint="eastAsia" w:ascii="仿宋" w:hAnsi="仿宋" w:eastAsia="仿宋" w:cs="仿宋"/>
          <w:color w:val="auto"/>
          <w:sz w:val="24"/>
          <w:szCs w:val="24"/>
        </w:rPr>
        <w:br w:type="page"/>
      </w:r>
      <w:r>
        <w:rPr>
          <w:rFonts w:hint="eastAsia" w:ascii="仿宋" w:hAnsi="仿宋" w:eastAsia="仿宋" w:cs="仿宋"/>
          <w:b/>
          <w:bCs/>
          <w:color w:val="auto"/>
          <w:sz w:val="32"/>
          <w:szCs w:val="32"/>
        </w:rPr>
        <w:t xml:space="preserve">   通用条款</w:t>
      </w:r>
    </w:p>
    <w:p w14:paraId="477A390C">
      <w:pPr>
        <w:pStyle w:val="26"/>
        <w:numPr>
          <w:ilvl w:val="0"/>
          <w:numId w:val="0"/>
        </w:numPr>
        <w:ind w:leftChars="400"/>
        <w:rPr>
          <w:rFonts w:hint="eastAsia" w:ascii="仿宋" w:hAnsi="仿宋" w:eastAsia="仿宋" w:cs="仿宋"/>
          <w:color w:val="auto"/>
          <w:sz w:val="24"/>
          <w:szCs w:val="21"/>
        </w:rPr>
      </w:pPr>
    </w:p>
    <w:p w14:paraId="5911D2BA">
      <w:pPr>
        <w:spacing w:line="44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一、词语定义和适用法律</w:t>
      </w:r>
    </w:p>
    <w:p w14:paraId="44C11C9F">
      <w:pPr>
        <w:spacing w:line="44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1、词语定义</w:t>
      </w:r>
    </w:p>
    <w:p w14:paraId="0EBBF8D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下列词语除本合同专用条款另有约定外，应具有本条款所赋予的定义：</w:t>
      </w:r>
    </w:p>
    <w:p w14:paraId="7A31A71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l</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招标代理合同：委托人将采购项目招标工作委托给具有相应招标代理资质的受托人，实施招标活动签订的委托合同。</w:t>
      </w:r>
    </w:p>
    <w:p w14:paraId="7C70552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l</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2通用条款：是根据国家、有关法律、法规和采购项目招标代理的需要所订立，通用于各类采购项目招标代理的条款。</w:t>
      </w:r>
    </w:p>
    <w:p w14:paraId="72A748C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3专用条款：是委托人与受托人根据有关国家、法律、法规规定，结合具体采购项目招标代理的实际，经协商达成一致意见的条款，是对通用条款的具体化、补充或修改。</w:t>
      </w:r>
    </w:p>
    <w:p w14:paraId="6DC7C62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l</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4委托人：指在合同中约定的，具有采购项目招标委托主体资格的当事人，以及取得该当事人资格的合法继承人。</w:t>
      </w:r>
    </w:p>
    <w:p w14:paraId="49FD1269">
      <w:pPr>
        <w:tabs>
          <w:tab w:val="left" w:pos="360"/>
          <w:tab w:val="left" w:pos="54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5 受托人：指在合同中约定的，被委托人接受的具有采购项目招标代理主体资格的当事人，以及取得该当事人资格的合法继承人。</w:t>
      </w:r>
    </w:p>
    <w:p w14:paraId="09C635C8">
      <w:pPr>
        <w:tabs>
          <w:tab w:val="left" w:pos="360"/>
          <w:tab w:val="left" w:pos="540"/>
        </w:tabs>
        <w:spacing w:line="440" w:lineRule="exact"/>
        <w:ind w:firstLine="456"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1</w:t>
      </w:r>
      <w:r>
        <w:rPr>
          <w:rFonts w:hint="eastAsia" w:ascii="仿宋" w:hAnsi="仿宋" w:eastAsia="仿宋" w:cs="仿宋"/>
          <w:color w:val="auto"/>
          <w:spacing w:val="-6"/>
          <w:sz w:val="24"/>
          <w:szCs w:val="24"/>
          <w:lang w:val="zh-CN"/>
        </w:rPr>
        <w:t>.</w:t>
      </w:r>
      <w:r>
        <w:rPr>
          <w:rFonts w:hint="eastAsia" w:ascii="仿宋" w:hAnsi="仿宋" w:eastAsia="仿宋" w:cs="仿宋"/>
          <w:color w:val="auto"/>
          <w:spacing w:val="-6"/>
          <w:sz w:val="24"/>
          <w:szCs w:val="24"/>
        </w:rPr>
        <w:t>6 招标代理项目负责人：指受托人在专用条款中指定的负责合同履行的代表。</w:t>
      </w:r>
    </w:p>
    <w:p w14:paraId="3375EADA">
      <w:pPr>
        <w:tabs>
          <w:tab w:val="left" w:pos="360"/>
          <w:tab w:val="left" w:pos="540"/>
        </w:tabs>
        <w:spacing w:line="440" w:lineRule="exact"/>
        <w:ind w:firstLine="456" w:firstLineChars="200"/>
        <w:rPr>
          <w:rFonts w:hint="eastAsia" w:ascii="仿宋" w:hAnsi="仿宋" w:eastAsia="仿宋" w:cs="仿宋"/>
          <w:color w:val="auto"/>
          <w:sz w:val="24"/>
          <w:szCs w:val="24"/>
        </w:rPr>
      </w:pPr>
      <w:r>
        <w:rPr>
          <w:rFonts w:hint="eastAsia" w:ascii="仿宋" w:hAnsi="仿宋" w:eastAsia="仿宋" w:cs="仿宋"/>
          <w:color w:val="auto"/>
          <w:spacing w:val="-6"/>
          <w:sz w:val="24"/>
          <w:szCs w:val="24"/>
        </w:rPr>
        <w:t>1.7 采购项目：指由委托人和受托人在合同中约定的委托代理招标的项目。</w:t>
      </w:r>
    </w:p>
    <w:p w14:paraId="0B666AE6">
      <w:pPr>
        <w:tabs>
          <w:tab w:val="left" w:pos="360"/>
          <w:tab w:val="left" w:pos="540"/>
        </w:tabs>
        <w:spacing w:line="440" w:lineRule="exact"/>
        <w:ind w:firstLine="456"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1.8 招标代理业务：委托人委托受托人代理实施采购项目招标的工作内容。</w:t>
      </w:r>
    </w:p>
    <w:p w14:paraId="23DA5FB5">
      <w:pPr>
        <w:tabs>
          <w:tab w:val="left" w:pos="360"/>
          <w:tab w:val="left" w:pos="540"/>
        </w:tabs>
        <w:spacing w:line="440" w:lineRule="exact"/>
        <w:ind w:firstLine="480" w:firstLineChars="200"/>
        <w:rPr>
          <w:rFonts w:hint="eastAsia" w:ascii="仿宋" w:hAnsi="仿宋" w:eastAsia="仿宋" w:cs="仿宋"/>
          <w:color w:val="auto"/>
          <w:spacing w:val="-6"/>
          <w:sz w:val="24"/>
          <w:szCs w:val="24"/>
          <w:lang w:eastAsia="zh-CN"/>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9 附加服务：指委托人和受托人在本合同通用条款4</w:t>
      </w:r>
      <w:r>
        <w:rPr>
          <w:rFonts w:hint="eastAsia" w:ascii="仿宋" w:hAnsi="仿宋" w:eastAsia="仿宋" w:cs="仿宋"/>
          <w:color w:val="auto"/>
          <w:sz w:val="24"/>
          <w:szCs w:val="24"/>
          <w:lang w:val="zh-CN"/>
        </w:rPr>
        <w:t>.</w:t>
      </w:r>
      <w:r>
        <w:rPr>
          <w:rFonts w:hint="eastAsia" w:ascii="仿宋" w:hAnsi="仿宋" w:eastAsia="仿宋" w:cs="仿宋"/>
          <w:strike w:val="0"/>
          <w:color w:val="auto"/>
          <w:sz w:val="24"/>
          <w:szCs w:val="24"/>
          <w:lang w:val="en-US" w:eastAsia="zh-CN"/>
        </w:rPr>
        <w:t>2</w:t>
      </w:r>
      <w:r>
        <w:rPr>
          <w:rFonts w:hint="eastAsia" w:ascii="仿宋" w:hAnsi="仿宋" w:eastAsia="仿宋" w:cs="仿宋"/>
          <w:color w:val="auto"/>
          <w:sz w:val="24"/>
          <w:szCs w:val="24"/>
        </w:rPr>
        <w:t>款和专用条款4</w:t>
      </w:r>
      <w:r>
        <w:rPr>
          <w:rFonts w:hint="eastAsia" w:ascii="仿宋" w:hAnsi="仿宋" w:eastAsia="仿宋" w:cs="仿宋"/>
          <w:color w:val="auto"/>
          <w:sz w:val="24"/>
          <w:szCs w:val="24"/>
          <w:lang w:val="zh-CN"/>
        </w:rPr>
        <w:t>.</w:t>
      </w:r>
      <w:r>
        <w:rPr>
          <w:rFonts w:hint="eastAsia" w:ascii="仿宋" w:hAnsi="仿宋" w:eastAsia="仿宋" w:cs="仿宋"/>
          <w:strike w:val="0"/>
          <w:color w:val="auto"/>
          <w:sz w:val="24"/>
          <w:szCs w:val="24"/>
          <w:lang w:val="en-US" w:eastAsia="zh-CN"/>
        </w:rPr>
        <w:t>2</w:t>
      </w:r>
      <w:r>
        <w:rPr>
          <w:rFonts w:hint="eastAsia" w:ascii="仿宋" w:hAnsi="仿宋" w:eastAsia="仿宋" w:cs="仿宋"/>
          <w:color w:val="auto"/>
          <w:sz w:val="24"/>
          <w:szCs w:val="24"/>
        </w:rPr>
        <w:t>款中双方约定工作范围之外的附加工作。</w:t>
      </w:r>
    </w:p>
    <w:p w14:paraId="709E7E8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10 代理服务费：委托人和受托人在合同中约定的，受托人按照约定应收取的代理服务费总额。</w:t>
      </w:r>
    </w:p>
    <w:p w14:paraId="59654B3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11 图纸：指由委托人提供的满足招标需要的所有图纸、计算书、配套说明以及相关的技术资料。</w:t>
      </w:r>
    </w:p>
    <w:p w14:paraId="26457B5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12 书面形式：指具有公章、法定代表人或授权代理人签字的合同书、信件和数据电文（包括电报、电传、传真）等可以有形地表现所载内容的形式。</w:t>
      </w:r>
    </w:p>
    <w:p w14:paraId="00897E8E">
      <w:pPr>
        <w:tabs>
          <w:tab w:val="left" w:pos="54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13 违约责任：指合同一方不履行合同义务或履行合同义务不符合约定所应承担的责任。</w:t>
      </w:r>
    </w:p>
    <w:p w14:paraId="66DCCF03">
      <w:pPr>
        <w:tabs>
          <w:tab w:val="left" w:pos="36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14 索赔：指在合同履行过程中，对于并非自己的过错，而是应由对方承担责任的情况造成的实际损失，向对方提出经济补偿或其他的要求。</w:t>
      </w:r>
    </w:p>
    <w:p w14:paraId="3D4F18EC">
      <w:pPr>
        <w:tabs>
          <w:tab w:val="left" w:pos="36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15 不可抗力：指双方无法控制和不可预见的事件，但不包括双方的违约或疏忽。这些事件包括但不限于战争、严重火灾、洪水、台风、地震、上级命令，或其他双方一致认为属于不可抗力的事件。</w:t>
      </w:r>
    </w:p>
    <w:p w14:paraId="1E6FB1D5">
      <w:pPr>
        <w:tabs>
          <w:tab w:val="left" w:pos="36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37FFD4E0">
      <w:pPr>
        <w:spacing w:line="440" w:lineRule="exact"/>
        <w:ind w:firstLine="482" w:firstLineChars="200"/>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2、合同文件及解释顺序</w:t>
      </w:r>
    </w:p>
    <w:p w14:paraId="2A33B62E">
      <w:pPr>
        <w:tabs>
          <w:tab w:val="left" w:pos="54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l 合同文件应能互相解释，互为说明。除本合同专用条款另有约定外，组成本合同的文件及优先解释顺序如下：</w:t>
      </w:r>
    </w:p>
    <w:p w14:paraId="3681B709">
      <w:pPr>
        <w:tabs>
          <w:tab w:val="left" w:pos="360"/>
        </w:tabs>
        <w:spacing w:line="440" w:lineRule="exact"/>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（1）本合同履行过程中双方以书面形式签署的补充和修正文件；</w:t>
      </w:r>
    </w:p>
    <w:p w14:paraId="42E9D3D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（2）本合同协议书：</w:t>
      </w:r>
    </w:p>
    <w:p w14:paraId="12973B9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（3）本合同专用条款；</w:t>
      </w:r>
    </w:p>
    <w:p w14:paraId="17E8FFF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（4）本合同通用条款。</w:t>
      </w:r>
    </w:p>
    <w:p w14:paraId="0672CB58">
      <w:pPr>
        <w:tabs>
          <w:tab w:val="left" w:pos="54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 当合同文件内容出现含糊不清或不相一致时，应在不影响招标代理业务正常进行的情况下，由委托人和受托人协商解决。双方协商不成时，按本合同通用条款第12条关于争议的约定处理。</w:t>
      </w:r>
    </w:p>
    <w:p w14:paraId="53A04891">
      <w:pPr>
        <w:tabs>
          <w:tab w:val="left" w:pos="540"/>
        </w:tabs>
        <w:spacing w:line="440" w:lineRule="exact"/>
        <w:ind w:firstLine="482" w:firstLineChars="200"/>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3、语言文字和适用法律</w:t>
      </w:r>
    </w:p>
    <w:p w14:paraId="294789D0">
      <w:pPr>
        <w:tabs>
          <w:tab w:val="left" w:pos="54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语言文字</w:t>
      </w:r>
    </w:p>
    <w:p w14:paraId="0E2E96DA">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除本合同专用条款中另有约定，本合同文件使用汉语语言文字书写、解释和说明。如本合同专用条款约定使用两种以上（含两种）语言文字时，汉语应为解释和说明本合同的标准语言文字。</w:t>
      </w:r>
    </w:p>
    <w:p w14:paraId="343F63FC">
      <w:pPr>
        <w:tabs>
          <w:tab w:val="left" w:pos="36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 适用法律和行政法规</w:t>
      </w:r>
    </w:p>
    <w:p w14:paraId="191CE6D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本合同文件适用有关法律和行政法规。需要明示的法律和行政法规，双方可在本合同专用条款中约定。</w:t>
      </w:r>
    </w:p>
    <w:p w14:paraId="0FAB8AE2">
      <w:pPr>
        <w:spacing w:line="44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二、双方一般权利和义务</w:t>
      </w:r>
    </w:p>
    <w:p w14:paraId="6DD5C93B">
      <w:pPr>
        <w:tabs>
          <w:tab w:val="left" w:pos="360"/>
        </w:tabs>
        <w:spacing w:line="44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4、委托人的义务</w:t>
      </w:r>
    </w:p>
    <w:p w14:paraId="78B70467">
      <w:pPr>
        <w:spacing w:line="440" w:lineRule="exact"/>
        <w:ind w:firstLine="456"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4</w:t>
      </w:r>
      <w:r>
        <w:rPr>
          <w:rFonts w:hint="eastAsia" w:ascii="仿宋" w:hAnsi="仿宋" w:eastAsia="仿宋" w:cs="仿宋"/>
          <w:color w:val="auto"/>
          <w:spacing w:val="-6"/>
          <w:sz w:val="24"/>
          <w:szCs w:val="24"/>
          <w:lang w:val="zh-CN"/>
        </w:rPr>
        <w:t>.</w:t>
      </w:r>
      <w:r>
        <w:rPr>
          <w:rFonts w:hint="eastAsia" w:ascii="仿宋" w:hAnsi="仿宋" w:eastAsia="仿宋" w:cs="仿宋"/>
          <w:color w:val="auto"/>
          <w:spacing w:val="-6"/>
          <w:sz w:val="24"/>
          <w:szCs w:val="24"/>
        </w:rPr>
        <w:t>1 委托人将委托招标代理工作的具体范围和内容在本合同专用条款中约定。</w:t>
      </w:r>
    </w:p>
    <w:p w14:paraId="37330F1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 委托人按本合同专用条款约定的内容和时间完成下列工作：</w:t>
      </w:r>
    </w:p>
    <w:p w14:paraId="4B15E70A">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（1）向受托人提供本招标代理业务应具备的相关前期资料及资金落实情况资料；</w:t>
      </w:r>
    </w:p>
    <w:p w14:paraId="6918446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（2）向受托人提供完成本项目招标代理业务所需的全部技术资料、参数和图纸，需要交底的须向受托人详细交底；</w:t>
      </w:r>
    </w:p>
    <w:p w14:paraId="418011D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（3）向受托人提供保证招标工作顺利完成的条件，提供的条件在本合同专用条款内约定；</w:t>
      </w:r>
    </w:p>
    <w:p w14:paraId="1892ADE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（4）指定专人与受托人联系，指定人员的姓名、职务、职称在本合同专用条款内约定；</w:t>
      </w:r>
    </w:p>
    <w:p w14:paraId="3953D33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（5）根据需要，作好与第三方的协调工作；</w:t>
      </w:r>
    </w:p>
    <w:p w14:paraId="281C931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（6）依法应尽的其他义务，双方在本合同专用条款内约定。</w:t>
      </w:r>
    </w:p>
    <w:p w14:paraId="60AA468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 委托人负有对受托人为本合同提供的技术服务进行知识产权保护的责任。</w:t>
      </w:r>
    </w:p>
    <w:p w14:paraId="25EC68F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 委托人未能履行以上各项义务，给受托人造成损失的，应当赔偿受托人的有关损失，因委托人单方面未能履行以上各项义务造成的后果，由委托人承担全部法律责任。</w:t>
      </w:r>
    </w:p>
    <w:p w14:paraId="7A9E15E4">
      <w:pPr>
        <w:tabs>
          <w:tab w:val="left" w:pos="360"/>
        </w:tabs>
        <w:spacing w:line="44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5、受托人的义务</w:t>
      </w:r>
    </w:p>
    <w:p w14:paraId="1730A147">
      <w:pPr>
        <w:tabs>
          <w:tab w:val="left" w:pos="36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受托人应根据本合同专用条款中约定的委托招标代理业务的工作范围和内容，选择有足够资质和经验的专职人员担任招标代理项目负责人。招标代理项目负责人的姓名、身份证号在专用条款内写明。</w:t>
      </w:r>
    </w:p>
    <w:p w14:paraId="2EE5FD6C">
      <w:pPr>
        <w:tabs>
          <w:tab w:val="left" w:pos="36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 受托人按本合同专用条款约定的内容和时间完成下列工作：</w:t>
      </w:r>
    </w:p>
    <w:p w14:paraId="032FF0B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（一）依法按照公开、公平、公正和诚实信用原则，组织招标工作，维护各方的合法权益；</w:t>
      </w:r>
    </w:p>
    <w:p w14:paraId="0D8B5B3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（二）向采购人提供与招标工作相关的咨询、代书等服务；并从专业性、逻辑性、文字表述等方面确保招标文件质量；</w:t>
      </w:r>
    </w:p>
    <w:p w14:paraId="4BAA9A9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编制招标文件并提交采购人确认，发布招标公告、发送投标邀请函、受理投标报名申请，组织招标方案论证、资格审查，组织招标答疑、现场踏勘和标前会（如需要），从依法组建的专家库内抽取评标专家，按规定的时间接收投标文件，组织开标、评标会议，发送中标通知书等与招标有关的工作；</w:t>
      </w:r>
    </w:p>
    <w:p w14:paraId="0A94783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（四）负责开标、评标期间与会人员的日常生活安排及各项有关费用，按规定向评标专家支付劳务费；</w:t>
      </w:r>
    </w:p>
    <w:p w14:paraId="6084B23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（五）随时向采购人汇报招标工作进展情况，评标结束后及时向采购人提交招标情况的书面报告；</w:t>
      </w:r>
    </w:p>
    <w:p w14:paraId="39DA280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负责完成采购人委派的公开招标、邀请招标、竞争性谈判、竞争性磋商、单一来源采购、询价采购等相关法律规定的政府采购工作，工作内容包括但不限于：咨询、文件编制、组织会议等；及时向采购人提交相关过程的书面/电子资料，形成正式的采购意见；</w:t>
      </w:r>
    </w:p>
    <w:p w14:paraId="1C3C8EF1">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（七）招标、投标文件等招投标档案资料在该项代理结束时移交采购人归档，提供装订成册的招标总结文档资料；</w:t>
      </w:r>
    </w:p>
    <w:p w14:paraId="2DF5A9C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（八）应采购人要求，提供招投标业务培训服务；</w:t>
      </w:r>
    </w:p>
    <w:p w14:paraId="7C88CEF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（九）承担履行招标代理合同约定的所需的相关费用；根据需要就相关方对招标过程、评标过程、中标结果等的质疑或投诉做出相应处理或书面答复；</w:t>
      </w:r>
    </w:p>
    <w:p w14:paraId="6E89CCD7">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（十）负责云南省政府采购管理信息系统招标代理应承担的相关工作；</w:t>
      </w:r>
    </w:p>
    <w:p w14:paraId="04892649">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（十一）负责承办本单位委托范围内的其他有关事宜。</w:t>
      </w:r>
    </w:p>
    <w:p w14:paraId="47907458">
      <w:pPr>
        <w:tabs>
          <w:tab w:val="left" w:pos="36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 受托人应对招标工作中受托人所出具有关数据的计算、技术经济资料等的合法性和准确性负责。</w:t>
      </w:r>
    </w:p>
    <w:p w14:paraId="479C0A2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4 受托人不得接受与本合同采购项目中委托招标范围之内的相关的投标咨询业务。</w:t>
      </w:r>
    </w:p>
    <w:p w14:paraId="30BB1A3D">
      <w:pPr>
        <w:spacing w:line="440" w:lineRule="exact"/>
        <w:ind w:firstLine="456" w:firstLineChars="200"/>
        <w:rPr>
          <w:rFonts w:hint="eastAsia" w:ascii="仿宋" w:hAnsi="仿宋" w:eastAsia="仿宋" w:cs="仿宋"/>
          <w:color w:val="auto"/>
          <w:spacing w:val="-6"/>
          <w:sz w:val="24"/>
          <w:szCs w:val="24"/>
        </w:rPr>
      </w:pPr>
      <w:r>
        <w:rPr>
          <w:rFonts w:hint="eastAsia" w:ascii="仿宋" w:hAnsi="仿宋" w:eastAsia="仿宋" w:cs="仿宋"/>
          <w:color w:val="auto"/>
          <w:spacing w:val="-6"/>
          <w:sz w:val="24"/>
          <w:szCs w:val="24"/>
        </w:rPr>
        <w:t>5</w:t>
      </w:r>
      <w:r>
        <w:rPr>
          <w:rFonts w:hint="eastAsia" w:ascii="仿宋" w:hAnsi="仿宋" w:eastAsia="仿宋" w:cs="仿宋"/>
          <w:color w:val="auto"/>
          <w:spacing w:val="-6"/>
          <w:sz w:val="24"/>
          <w:szCs w:val="24"/>
          <w:lang w:val="zh-CN"/>
        </w:rPr>
        <w:t>.</w:t>
      </w:r>
      <w:r>
        <w:rPr>
          <w:rFonts w:hint="eastAsia" w:ascii="仿宋" w:hAnsi="仿宋" w:eastAsia="仿宋" w:cs="仿宋"/>
          <w:color w:val="auto"/>
          <w:spacing w:val="-6"/>
          <w:sz w:val="24"/>
          <w:szCs w:val="24"/>
        </w:rPr>
        <w:t>5 受托人为本合同提供技术服务的知识产权应属受托人专有。任何第三方如果提出侵权指控，受托人须与第三方交涉并承担由此而引起的一切法律责任和费用。</w:t>
      </w:r>
    </w:p>
    <w:p w14:paraId="1BBC0DF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6受托人不得分包或转让本合同的任何权利和义务。</w:t>
      </w:r>
    </w:p>
    <w:p w14:paraId="6BF40D7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7 受托人不得收受所有投标人的礼品、宴请和任何其它好处，不得泄露招标、评标、定标过程中依法需要保密的内容。合同终止后，未经委托人同意，受托人不得泄漏与本合同采购相关的任何招标资料和情况。</w:t>
      </w:r>
    </w:p>
    <w:p w14:paraId="1243F5E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5.8 受托人依托国家市场监督管理部门查询投标人内在关联情况，如发现有涉嫌围标、串标行为的，必须在报名截止日期后1日内及时与委托人沟通，共同协商解决事项。</w:t>
      </w:r>
    </w:p>
    <w:p w14:paraId="139C86A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9 受托人未能履行以上各项义务，给委托人造成损失的，应当赔偿委托人的有关损失，因受托人未能履行以上各项义务造成的后果，由受托人承担全部法律责任。</w:t>
      </w:r>
    </w:p>
    <w:p w14:paraId="6A85C052">
      <w:pPr>
        <w:spacing w:line="440" w:lineRule="exact"/>
        <w:ind w:firstLine="482" w:firstLineChars="200"/>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6、委托人的权利</w:t>
      </w:r>
    </w:p>
    <w:p w14:paraId="7F2E78B9">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委托人拥有下列权利：</w:t>
      </w:r>
    </w:p>
    <w:p w14:paraId="740E12C3">
      <w:pPr>
        <w:spacing w:line="440" w:lineRule="exact"/>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（1）按合同约定，接收招标代理成果；</w:t>
      </w:r>
    </w:p>
    <w:p w14:paraId="1D28DE29">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（2）向受托人询问本合同采购招标工作进展情况和相关内容或提出不违反国家、法律法规的建议；</w:t>
      </w:r>
    </w:p>
    <w:p w14:paraId="5EB6F089">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（3）审查受托人为本合同采购编制的各种文件，并提出修正意见；</w:t>
      </w:r>
    </w:p>
    <w:p w14:paraId="16C62453">
      <w:pPr>
        <w:spacing w:line="440" w:lineRule="exact"/>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（4）要求受托人提交招标代理业务工作报告；</w:t>
      </w:r>
    </w:p>
    <w:p w14:paraId="4F00C23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（5）与受托人协商，建议更换其不称职的招标代理从业人员；</w:t>
      </w:r>
    </w:p>
    <w:p w14:paraId="0B99204D">
      <w:pPr>
        <w:spacing w:line="440" w:lineRule="exact"/>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（6）依法选择中标供应商；</w:t>
      </w:r>
    </w:p>
    <w:p w14:paraId="1E8FECE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（7）本合同履行期间，由于受托人不履行合同约定的内容，给委托人造成损失或影响招标工作正常进行的，委托人有权终止本合同，并依法向受托人追索经济赔偿，直至追究法律责任；</w:t>
      </w:r>
    </w:p>
    <w:p w14:paraId="002B47B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（8）依法享有的其他权利，双方在本合同专用条款内约定。</w:t>
      </w:r>
    </w:p>
    <w:p w14:paraId="40537C0E">
      <w:pPr>
        <w:spacing w:line="440" w:lineRule="exact"/>
        <w:ind w:firstLine="482" w:firstLineChars="200"/>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7、受托人的权利</w:t>
      </w:r>
    </w:p>
    <w:p w14:paraId="73B08AC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受托人拥有下列权利：</w:t>
      </w:r>
    </w:p>
    <w:p w14:paraId="28C578E5">
      <w:pPr>
        <w:spacing w:line="440" w:lineRule="exact"/>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（1）按合同约定收取委托代理服务费；</w:t>
      </w:r>
    </w:p>
    <w:p w14:paraId="1BA2AE3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（2）对招标过程中应由委托人做出的决定，受托人有权提出建议；</w:t>
      </w:r>
    </w:p>
    <w:p w14:paraId="6CE37639">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（3）当委托人提供的资料不足或不明确时，有权要求委托人补足资料或作出明确的答复；</w:t>
      </w:r>
    </w:p>
    <w:p w14:paraId="1815A53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（4）拒绝委托人提出的违反法律、行政法规的要求，并向委托人作出解释；</w:t>
      </w:r>
    </w:p>
    <w:p w14:paraId="2C729CB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（5）有权参加委托人组织的涉及招标工作的会议和活动；    </w:t>
      </w:r>
    </w:p>
    <w:p w14:paraId="6AF52AF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（6）对于为本合同采购编制的所有文件拥有知识产权，委托人仅有使用或复制的权利；</w:t>
      </w:r>
    </w:p>
    <w:p w14:paraId="30AF283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（7）依法享有的其他权利，双方在本合同专用条款内约定。</w:t>
      </w:r>
    </w:p>
    <w:p w14:paraId="029FE87D">
      <w:pPr>
        <w:spacing w:line="440" w:lineRule="exact"/>
        <w:ind w:firstLine="482" w:firstLineChars="2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三、委托代理服务费与收取</w:t>
      </w:r>
    </w:p>
    <w:p w14:paraId="06834507">
      <w:pPr>
        <w:spacing w:line="44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8、委托代理服务费</w:t>
      </w:r>
    </w:p>
    <w:p w14:paraId="097E285F">
      <w:pPr>
        <w:tabs>
          <w:tab w:val="left" w:pos="540"/>
        </w:tabs>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双方按照本合同约定的招标代理业务范围，在本合同专用条款内约定委托代理服务费的计算方法、金额、币种、汇率和支付方式、支付时间。</w:t>
      </w:r>
    </w:p>
    <w:p w14:paraId="3E2EDFB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 在招标代理业务范围内所发生的费用（如：报名费、评标会务费、评标专家的差旅费、劳务费、公证费等），由委托人与受托人在专用条款中约定。</w:t>
      </w:r>
    </w:p>
    <w:p w14:paraId="0ABF7EDD">
      <w:pPr>
        <w:spacing w:line="44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9、委托代理服务费的收取</w:t>
      </w:r>
    </w:p>
    <w:p w14:paraId="27E0224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代理服务费由中标供应商支付，在中标供应商与委托人签订采购合同5日内，将本合同约定的全部委托代理服务费一次性支付给受托人。</w:t>
      </w:r>
    </w:p>
    <w:p w14:paraId="3439B0A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 受托人完成委托人委托的招标代理工作范围以外的工作，为附加服务项目，应收取的费用由双方协商，签订补充协议。</w:t>
      </w:r>
    </w:p>
    <w:p w14:paraId="3890644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3委托代理服务费应由受托人按本合同专用条款约定的支付方法和时间，直接向中标供应商收取。</w:t>
      </w:r>
    </w:p>
    <w:p w14:paraId="7CD8B2D0">
      <w:pPr>
        <w:spacing w:line="440" w:lineRule="exact"/>
        <w:ind w:firstLine="482" w:firstLineChars="200"/>
        <w:outlineLvl w:val="0"/>
        <w:rPr>
          <w:rFonts w:hint="eastAsia" w:ascii="仿宋" w:hAnsi="仿宋" w:eastAsia="仿宋" w:cs="仿宋"/>
          <w:b/>
          <w:bCs/>
          <w:color w:val="auto"/>
          <w:sz w:val="24"/>
          <w:szCs w:val="24"/>
        </w:rPr>
      </w:pPr>
      <w:r>
        <w:rPr>
          <w:rFonts w:hint="eastAsia" w:ascii="仿宋" w:hAnsi="仿宋" w:eastAsia="仿宋" w:cs="仿宋"/>
          <w:b/>
          <w:bCs/>
          <w:color w:val="auto"/>
          <w:sz w:val="24"/>
          <w:szCs w:val="24"/>
        </w:rPr>
        <w:t>四、违约、索赔和争议</w:t>
      </w:r>
    </w:p>
    <w:p w14:paraId="6A0EE211">
      <w:pPr>
        <w:spacing w:line="44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10、违约</w:t>
      </w:r>
    </w:p>
    <w:p w14:paraId="2CA22BD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委托人违约。 当发生下列情况时：</w:t>
      </w:r>
    </w:p>
    <w:p w14:paraId="282BEAD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（1）委托人未按本合同通用条款第4</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2 -（3）款提到的约定向委托人提供为保证招标工作顺利完成的条件，致使招标工作无法进行；</w:t>
      </w:r>
    </w:p>
    <w:p w14:paraId="2556F9BE">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（2）委托人不履行合同义务或不按合同约定履行义务的其他情况。</w:t>
      </w:r>
    </w:p>
    <w:p w14:paraId="3DEBD615">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委托人承担违约责任，赔偿因其违约给受托人造成的经济损失，双方在本合同专用条款内约定委托人赔偿受托人损失的计算方法或委托人应当支付违约金的数额或计算方法。</w:t>
      </w:r>
    </w:p>
    <w:p w14:paraId="4EEE471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 受托人违约。当发生下列情况时：</w:t>
      </w:r>
    </w:p>
    <w:p w14:paraId="5E0C52BC">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zh-CN"/>
        </w:rPr>
        <w:t>受托人未按照本合同通用条款第5.2－（2）款的约定，向委托人提供为完成招标工作的咨询服务；</w:t>
      </w:r>
    </w:p>
    <w:p w14:paraId="2D01D6F9">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受托人违反本合同通用条款第5.4款的约定，接受了与本合同招标采购项目有关的投标咨询业务</w:t>
      </w:r>
      <w:r>
        <w:rPr>
          <w:rFonts w:hint="eastAsia" w:ascii="仿宋" w:hAnsi="仿宋" w:eastAsia="仿宋" w:cs="仿宋"/>
          <w:color w:val="auto"/>
          <w:sz w:val="24"/>
          <w:szCs w:val="24"/>
        </w:rPr>
        <w:t>；</w:t>
      </w:r>
    </w:p>
    <w:p w14:paraId="42B70A57">
      <w:pPr>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（3）受托人违反本合同通用条款第5.6款的约定，分包、转让本合同的权利和义务；</w:t>
      </w:r>
    </w:p>
    <w:p w14:paraId="7D458A7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（4）受托人违反本合同通用条款第5.7款的约定，</w:t>
      </w:r>
      <w:r>
        <w:rPr>
          <w:rFonts w:hint="eastAsia" w:ascii="仿宋" w:hAnsi="仿宋" w:eastAsia="仿宋" w:cs="仿宋"/>
          <w:color w:val="auto"/>
          <w:sz w:val="24"/>
          <w:szCs w:val="24"/>
        </w:rPr>
        <w:t>收受投标人的礼品、宴请和任何其它好处</w:t>
      </w:r>
      <w:r>
        <w:rPr>
          <w:rFonts w:hint="eastAsia" w:ascii="仿宋" w:hAnsi="仿宋" w:eastAsia="仿宋" w:cs="仿宋"/>
          <w:b/>
          <w:color w:val="auto"/>
          <w:sz w:val="24"/>
          <w:szCs w:val="24"/>
          <w:lang w:val="zh-CN"/>
        </w:rPr>
        <w:t>；</w:t>
      </w:r>
      <w:r>
        <w:rPr>
          <w:rFonts w:hint="eastAsia" w:ascii="仿宋" w:hAnsi="仿宋" w:eastAsia="仿宋" w:cs="仿宋"/>
          <w:color w:val="auto"/>
          <w:sz w:val="24"/>
          <w:szCs w:val="24"/>
          <w:lang w:val="zh-CN"/>
        </w:rPr>
        <w:t>泄露了与本合同采购有关的任何不应泄露的招标资料和情况；</w:t>
      </w:r>
    </w:p>
    <w:p w14:paraId="2BA3988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zh-CN"/>
        </w:rPr>
        <w:t>受托人违反本合同通用条款第</w:t>
      </w:r>
      <w:r>
        <w:rPr>
          <w:rFonts w:hint="eastAsia" w:ascii="仿宋" w:hAnsi="仿宋" w:eastAsia="仿宋" w:cs="仿宋"/>
          <w:color w:val="auto"/>
          <w:sz w:val="24"/>
          <w:szCs w:val="24"/>
        </w:rPr>
        <w:t>5.8</w:t>
      </w:r>
      <w:r>
        <w:rPr>
          <w:rFonts w:hint="eastAsia" w:ascii="仿宋" w:hAnsi="仿宋" w:eastAsia="仿宋" w:cs="仿宋"/>
          <w:color w:val="auto"/>
          <w:sz w:val="24"/>
          <w:szCs w:val="24"/>
          <w:lang w:val="zh-CN"/>
        </w:rPr>
        <w:t>款的约定，未查询或未详尽查询</w:t>
      </w:r>
      <w:r>
        <w:rPr>
          <w:rFonts w:hint="eastAsia" w:ascii="仿宋" w:hAnsi="仿宋" w:eastAsia="仿宋" w:cs="仿宋"/>
          <w:color w:val="auto"/>
          <w:sz w:val="24"/>
          <w:szCs w:val="24"/>
        </w:rPr>
        <w:t>投标人内在关联情况，致使项目出现围标、串标行为或围标串标行为嫌疑的，或未及时与委托人沟通说明情况；</w:t>
      </w:r>
    </w:p>
    <w:p w14:paraId="32CC0382">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（6）受托人不履行合同义务或不按合同约定履行义务的其他情况。</w:t>
      </w:r>
    </w:p>
    <w:p w14:paraId="5E1650D1">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受托人承担违约责任，赔偿因其违约给委托人造成的经济损失，双方在本合同专用条款内约定受托人赔偿委托人损失的计算方法或受托人应当支付违约金的数额或计算方法。</w:t>
      </w:r>
    </w:p>
    <w:p w14:paraId="076B0FC3">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 第三方违约。如果一方的违约被认定为是与第三方共同造成的，则应由合同双方中有违约的一方先行向另一方承担全部违约责任，再由承担违约责任的一方向第三方追索。</w:t>
      </w:r>
    </w:p>
    <w:p w14:paraId="0A3AFFEF">
      <w:pPr>
        <w:spacing w:line="44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11、索赔</w:t>
      </w:r>
    </w:p>
    <w:p w14:paraId="7F595956">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当事人一方向另一方提出索赔时，要有正当的索赔理由，且有索赔事件发生时的有效证据。</w:t>
      </w:r>
    </w:p>
    <w:p w14:paraId="2AE816DD">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 委托人未能按合同约定履行自己的各项义务，或者发生应由委托人承担责任的其他情况，给受托人造成损失，受托人可按下列程序以书面形式向委托人索赔：</w:t>
      </w:r>
    </w:p>
    <w:p w14:paraId="65CE5851">
      <w:pPr>
        <w:spacing w:line="440" w:lineRule="exact"/>
        <w:ind w:firstLine="480" w:firstLineChars="200"/>
        <w:outlineLvl w:val="0"/>
        <w:rPr>
          <w:rFonts w:hint="eastAsia" w:ascii="仿宋" w:hAnsi="仿宋" w:eastAsia="仿宋" w:cs="仿宋"/>
          <w:color w:val="auto"/>
          <w:sz w:val="24"/>
          <w:szCs w:val="24"/>
        </w:rPr>
      </w:pPr>
      <w:r>
        <w:rPr>
          <w:rFonts w:hint="eastAsia" w:ascii="仿宋" w:hAnsi="仿宋" w:eastAsia="仿宋" w:cs="仿宋"/>
          <w:color w:val="auto"/>
          <w:sz w:val="24"/>
          <w:szCs w:val="24"/>
        </w:rPr>
        <w:t>（1）索赔事件发生后7天内，向委托人发出索赔报告及有关资料；</w:t>
      </w:r>
    </w:p>
    <w:p w14:paraId="5CD5B429">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（2）委托人收到受托人的索赔报告及有关资料后，于7天内给予答复，或要求受托人进一步补充索赔理由和证据；</w:t>
      </w:r>
    </w:p>
    <w:p w14:paraId="6766833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（3）委托人在收到受托人送交的索赔报告和有关资料后7天内未予答复，或未对受托人作进一步要求，视为该项索赔已经认可。</w:t>
      </w:r>
    </w:p>
    <w:p w14:paraId="155CFCE7">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3 受托人未能按合同约定履行自己的各项义务，或者发生应由受托人承担责任的其他情况，给委托人造成经济损失，委托人可按11</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2款确定的时限和程序向受托人提出索赔。</w:t>
      </w:r>
    </w:p>
    <w:p w14:paraId="7E3762AE">
      <w:pPr>
        <w:spacing w:line="440" w:lineRule="exact"/>
        <w:ind w:firstLine="482" w:firstLineChars="200"/>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12、争议</w:t>
      </w:r>
    </w:p>
    <w:p w14:paraId="1A90C9AF">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委托人和受托人履行合同时发生争议，可以和解或者向有关部门或机构申请调解。当事人不愿和解、调解或者和解、调解不成的，双方可以在本合同专用条款约定以下一种方式解决争议：</w:t>
      </w:r>
    </w:p>
    <w:p w14:paraId="266B8C24">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（1）双方达成仲裁协议，向约定的仲裁委员会申请仲裁；</w:t>
      </w:r>
    </w:p>
    <w:p w14:paraId="42593FB0">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（2）向有管辖权的人民法院起诉。</w:t>
      </w:r>
    </w:p>
    <w:p w14:paraId="366D7021">
      <w:pPr>
        <w:spacing w:line="44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五、合同变更、生效与终止</w:t>
      </w:r>
    </w:p>
    <w:p w14:paraId="4608982F">
      <w:pPr>
        <w:spacing w:line="440" w:lineRule="exact"/>
        <w:ind w:firstLine="482" w:firstLineChars="200"/>
        <w:outlineLvl w:val="0"/>
        <w:rPr>
          <w:rFonts w:hint="eastAsia" w:ascii="仿宋" w:hAnsi="仿宋" w:eastAsia="仿宋" w:cs="仿宋"/>
          <w:b/>
          <w:color w:val="auto"/>
          <w:sz w:val="24"/>
          <w:szCs w:val="24"/>
        </w:rPr>
      </w:pPr>
      <w:r>
        <w:rPr>
          <w:rFonts w:hint="eastAsia" w:ascii="仿宋" w:hAnsi="仿宋" w:eastAsia="仿宋" w:cs="仿宋"/>
          <w:b/>
          <w:color w:val="auto"/>
          <w:sz w:val="24"/>
          <w:szCs w:val="24"/>
        </w:rPr>
        <w:t>13、合同变更或解除</w:t>
      </w:r>
    </w:p>
    <w:p w14:paraId="7E66E598">
      <w:pPr>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w:t>
      </w: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1 本合同签订后，由于委托人原因，使得受托人不能持续履行招标代理业务时，委托人应及时通知受托人暂停招标代理业务。当需要恢复招标代理业务时，应当在正式恢复前7天通知受托人。</w:t>
      </w:r>
    </w:p>
    <w:p w14:paraId="12A8622D">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13.2 本合同签订后，如因国家、法律法规发生变化或由于任何后续新颁布的国家、法律法规导致服务所需的成本或时间发生改变，则本合同约定的代理服务费和服务期限由双方签订补充协议进行相应调整。</w:t>
      </w:r>
    </w:p>
    <w:p w14:paraId="770A5F4C">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13.3 本合同签订后，如因国家、法律法规发生变化或由于任何后续新颁布的国家、法律法规导致服务终止或合同终止，受托人需无条件终止合同，</w:t>
      </w:r>
      <w:r>
        <w:rPr>
          <w:rFonts w:hint="eastAsia" w:ascii="仿宋" w:hAnsi="仿宋" w:eastAsia="仿宋" w:cs="仿宋"/>
          <w:color w:val="auto"/>
          <w:spacing w:val="-6"/>
          <w:sz w:val="24"/>
          <w:szCs w:val="24"/>
          <w:lang w:val="zh-CN"/>
        </w:rPr>
        <w:t>并与委托人签署书面协议。</w:t>
      </w:r>
    </w:p>
    <w:p w14:paraId="191FB237">
      <w:pPr>
        <w:adjustRightInd w:val="0"/>
        <w:spacing w:line="440" w:lineRule="exact"/>
        <w:ind w:firstLine="456" w:firstLineChars="200"/>
        <w:rPr>
          <w:rFonts w:hint="eastAsia" w:ascii="仿宋" w:hAnsi="仿宋" w:eastAsia="仿宋" w:cs="仿宋"/>
          <w:color w:val="auto"/>
          <w:spacing w:val="-6"/>
          <w:sz w:val="24"/>
          <w:szCs w:val="24"/>
          <w:lang w:val="zh-CN"/>
        </w:rPr>
      </w:pPr>
      <w:r>
        <w:rPr>
          <w:rFonts w:hint="eastAsia" w:ascii="仿宋" w:hAnsi="仿宋" w:eastAsia="仿宋" w:cs="仿宋"/>
          <w:color w:val="auto"/>
          <w:spacing w:val="-6"/>
          <w:sz w:val="24"/>
          <w:szCs w:val="24"/>
          <w:lang w:val="zh-CN"/>
        </w:rPr>
        <w:t>13.4本合同当事人一方要求变更或解除合同时，除</w:t>
      </w:r>
      <w:r>
        <w:rPr>
          <w:rFonts w:hint="eastAsia" w:ascii="仿宋" w:hAnsi="仿宋" w:eastAsia="仿宋" w:cs="仿宋"/>
          <w:color w:val="auto"/>
          <w:sz w:val="24"/>
          <w:szCs w:val="24"/>
          <w:lang w:val="zh-CN"/>
        </w:rPr>
        <w:t>不可抗力</w:t>
      </w:r>
      <w:r>
        <w:rPr>
          <w:rFonts w:hint="eastAsia" w:ascii="仿宋" w:hAnsi="仿宋" w:eastAsia="仿宋" w:cs="仿宋"/>
          <w:color w:val="auto"/>
          <w:spacing w:val="-6"/>
          <w:sz w:val="24"/>
          <w:szCs w:val="24"/>
          <w:lang w:val="zh-CN"/>
        </w:rPr>
        <w:t>外，应与对方当事人协商一致并达成书面协议。未达成书面协议的，本合同依然有效。</w:t>
      </w:r>
    </w:p>
    <w:p w14:paraId="2243D09B">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13.5 因解除合同使当事人一方遭受损失的，</w:t>
      </w:r>
      <w:r>
        <w:rPr>
          <w:rFonts w:hint="eastAsia" w:ascii="仿宋" w:hAnsi="仿宋" w:eastAsia="仿宋" w:cs="仿宋"/>
          <w:color w:val="auto"/>
          <w:spacing w:val="-6"/>
          <w:sz w:val="24"/>
          <w:szCs w:val="24"/>
          <w:lang w:val="zh-CN"/>
        </w:rPr>
        <w:t>除</w:t>
      </w:r>
      <w:r>
        <w:rPr>
          <w:rFonts w:hint="eastAsia" w:ascii="仿宋" w:hAnsi="仿宋" w:eastAsia="仿宋" w:cs="仿宋"/>
          <w:color w:val="auto"/>
          <w:sz w:val="24"/>
          <w:szCs w:val="24"/>
          <w:lang w:val="zh-CN"/>
        </w:rPr>
        <w:t>国家、法律法规</w:t>
      </w:r>
      <w:r>
        <w:rPr>
          <w:rFonts w:hint="eastAsia" w:ascii="仿宋" w:hAnsi="仿宋" w:eastAsia="仿宋" w:cs="仿宋"/>
          <w:color w:val="auto"/>
          <w:spacing w:val="-6"/>
          <w:sz w:val="24"/>
          <w:szCs w:val="24"/>
          <w:lang w:val="zh-CN"/>
        </w:rPr>
        <w:t>另有规定外</w:t>
      </w:r>
      <w:r>
        <w:rPr>
          <w:rFonts w:hint="eastAsia" w:ascii="仿宋" w:hAnsi="仿宋" w:eastAsia="仿宋" w:cs="仿宋"/>
          <w:color w:val="auto"/>
          <w:sz w:val="24"/>
          <w:szCs w:val="24"/>
          <w:lang w:val="zh-CN"/>
        </w:rPr>
        <w:t>，应由责任方负责赔偿对方的损失，赔偿方法与金额由双方在协议书约定。</w:t>
      </w:r>
    </w:p>
    <w:p w14:paraId="39074CA0">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14、合同生效</w:t>
      </w:r>
    </w:p>
    <w:p w14:paraId="6970A26B">
      <w:pPr>
        <w:spacing w:line="440" w:lineRule="exact"/>
        <w:ind w:firstLine="440" w:firstLineChars="200"/>
        <w:rPr>
          <w:rFonts w:hint="eastAsia" w:ascii="仿宋" w:hAnsi="仿宋" w:eastAsia="仿宋" w:cs="仿宋"/>
          <w:color w:val="auto"/>
          <w:spacing w:val="-10"/>
          <w:sz w:val="24"/>
          <w:szCs w:val="24"/>
          <w:lang w:val="zh-CN"/>
        </w:rPr>
      </w:pPr>
      <w:r>
        <w:rPr>
          <w:rFonts w:hint="eastAsia" w:ascii="仿宋" w:hAnsi="仿宋" w:eastAsia="仿宋" w:cs="仿宋"/>
          <w:color w:val="auto"/>
          <w:spacing w:val="-10"/>
          <w:sz w:val="24"/>
          <w:szCs w:val="24"/>
          <w:lang w:val="zh-CN"/>
        </w:rPr>
        <w:t>除生效条件双方在协议书中另有约定外，本合同自双方签字盖章之日起生效。</w:t>
      </w:r>
    </w:p>
    <w:p w14:paraId="18BEEE33">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15、合同终止</w:t>
      </w:r>
    </w:p>
    <w:p w14:paraId="3085AFE1">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15.1 受托人完成委托人全部委托招标代理业务，且委托人或中标人支付了全部代理服务费（含附加服务的服务费）后本合同终止。</w:t>
      </w:r>
    </w:p>
    <w:p w14:paraId="7317BA91">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15.2 本合同终止并不影响各方应有的权利和应承担的义务。</w:t>
      </w:r>
    </w:p>
    <w:p w14:paraId="678628EC">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15.3 因不可抗力，致使当事人一方或双方不能履行本合同时，双方应协商确定本合同继续履行的条件或终止本合同。如果双方不能就本合同继续履行的条件或终止本合同达成一致意见，本合同自行终止，各自承担相应的损失。</w:t>
      </w:r>
    </w:p>
    <w:p w14:paraId="4D24D3FE">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15.4 本合同的权利和义务终止后，委托人和受托人应当遵循诚实信用原则，履行通知、协助、保密等义务。</w:t>
      </w:r>
    </w:p>
    <w:p w14:paraId="2DCBBFBD">
      <w:pPr>
        <w:adjustRightInd w:val="0"/>
        <w:spacing w:line="440" w:lineRule="exact"/>
        <w:ind w:firstLine="482" w:firstLineChars="200"/>
        <w:outlineLvl w:val="0"/>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六、其他</w:t>
      </w:r>
    </w:p>
    <w:p w14:paraId="020DB1D2">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16、合同的份数</w:t>
      </w:r>
    </w:p>
    <w:p w14:paraId="63E7AB26">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本合同一式</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陆</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份，委托人</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肆</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份（</w:t>
      </w:r>
      <w:r>
        <w:rPr>
          <w:rFonts w:hint="eastAsia" w:ascii="仿宋" w:hAnsi="仿宋" w:eastAsia="仿宋" w:cs="仿宋"/>
          <w:color w:val="auto"/>
          <w:sz w:val="24"/>
          <w:szCs w:val="24"/>
          <w:lang w:val="en-US" w:eastAsia="zh-CN"/>
        </w:rPr>
        <w:t>财务、采购经办人、合同管理人各1份，再备用一份</w:t>
      </w:r>
      <w:r>
        <w:rPr>
          <w:rFonts w:hint="eastAsia" w:ascii="仿宋" w:hAnsi="仿宋" w:eastAsia="仿宋" w:cs="仿宋"/>
          <w:color w:val="auto"/>
          <w:sz w:val="24"/>
          <w:szCs w:val="24"/>
          <w:lang w:val="zh-CN"/>
        </w:rPr>
        <w:t>），受托人</w:t>
      </w:r>
      <w:r>
        <w:rPr>
          <w:rFonts w:hint="eastAsia" w:ascii="仿宋" w:hAnsi="仿宋" w:eastAsia="仿宋" w:cs="仿宋"/>
          <w:color w:val="auto"/>
          <w:sz w:val="24"/>
          <w:szCs w:val="24"/>
          <w:u w:val="single"/>
          <w:lang w:val="zh-CN"/>
        </w:rPr>
        <w:t xml:space="preserve"> 贰 </w:t>
      </w:r>
      <w:r>
        <w:rPr>
          <w:rFonts w:hint="eastAsia" w:ascii="仿宋" w:hAnsi="仿宋" w:eastAsia="仿宋" w:cs="仿宋"/>
          <w:color w:val="auto"/>
          <w:sz w:val="24"/>
          <w:szCs w:val="24"/>
          <w:lang w:val="zh-CN"/>
        </w:rPr>
        <w:t>份。</w:t>
      </w:r>
    </w:p>
    <w:p w14:paraId="38A40F8A">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17、补充条款</w:t>
      </w:r>
    </w:p>
    <w:p w14:paraId="1FE1EC1D">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双方根据有关国家、法律法规规定，结合本合同招标项目实际，经协商一致后，可对本合同通用条款未涉及的内容进行补充。</w:t>
      </w:r>
    </w:p>
    <w:p w14:paraId="6852C772">
      <w:pPr>
        <w:adjustRightInd w:val="0"/>
        <w:spacing w:line="0" w:lineRule="atLeast"/>
        <w:ind w:firstLine="479" w:firstLineChars="149"/>
        <w:jc w:val="cente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br w:type="page"/>
      </w:r>
      <w:r>
        <w:rPr>
          <w:rFonts w:hint="eastAsia" w:ascii="仿宋" w:hAnsi="仿宋" w:eastAsia="仿宋" w:cs="仿宋"/>
          <w:b/>
          <w:bCs/>
          <w:color w:val="auto"/>
          <w:sz w:val="32"/>
          <w:szCs w:val="32"/>
          <w:lang w:val="zh-CN"/>
        </w:rPr>
        <w:t>第二部分   专用条款</w:t>
      </w:r>
    </w:p>
    <w:p w14:paraId="032ED3C4">
      <w:pPr>
        <w:adjustRightInd w:val="0"/>
        <w:spacing w:line="440" w:lineRule="exact"/>
        <w:ind w:firstLine="482" w:firstLineChars="200"/>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一、词语定义和适用法律</w:t>
      </w:r>
    </w:p>
    <w:p w14:paraId="6697AE01">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1、合同文件及解释顺序</w:t>
      </w:r>
    </w:p>
    <w:p w14:paraId="42849E21">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1.1 合同文件及解释顺序：</w:t>
      </w:r>
      <w:r>
        <w:rPr>
          <w:rFonts w:hint="eastAsia" w:ascii="仿宋" w:hAnsi="仿宋" w:eastAsia="仿宋" w:cs="仿宋"/>
          <w:b/>
          <w:color w:val="auto"/>
          <w:sz w:val="24"/>
          <w:szCs w:val="24"/>
          <w:u w:val="single"/>
          <w:lang w:val="zh-CN"/>
        </w:rPr>
        <w:t xml:space="preserve">执行合同“通用条款”第2条2.1、2.2款相关内容   </w:t>
      </w:r>
    </w:p>
    <w:p w14:paraId="134FF8D9">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2、语言文字和适用法律</w:t>
      </w:r>
    </w:p>
    <w:p w14:paraId="4A390249">
      <w:pPr>
        <w:adjustRightInd w:val="0"/>
        <w:spacing w:line="440" w:lineRule="exact"/>
        <w:ind w:firstLine="480" w:firstLineChars="200"/>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2.1 语言文字为</w:t>
      </w:r>
    </w:p>
    <w:p w14:paraId="0AC5BB0A">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本合同采用的文字为：</w:t>
      </w:r>
      <w:r>
        <w:rPr>
          <w:rFonts w:hint="eastAsia" w:ascii="仿宋" w:hAnsi="仿宋" w:eastAsia="仿宋" w:cs="仿宋"/>
          <w:b/>
          <w:color w:val="auto"/>
          <w:sz w:val="24"/>
          <w:szCs w:val="24"/>
          <w:u w:val="single"/>
          <w:lang w:val="zh-CN"/>
        </w:rPr>
        <w:t>中文</w:t>
      </w:r>
      <w:r>
        <w:rPr>
          <w:rFonts w:hint="eastAsia" w:ascii="仿宋" w:hAnsi="仿宋" w:eastAsia="仿宋" w:cs="仿宋"/>
          <w:color w:val="auto"/>
          <w:sz w:val="24"/>
          <w:szCs w:val="24"/>
          <w:lang w:val="zh-CN"/>
        </w:rPr>
        <w:t>。</w:t>
      </w:r>
    </w:p>
    <w:p w14:paraId="19259C4D">
      <w:pPr>
        <w:spacing w:line="440" w:lineRule="exact"/>
        <w:ind w:firstLine="480" w:firstLineChars="200"/>
        <w:rPr>
          <w:rFonts w:hint="eastAsia" w:ascii="仿宋" w:hAnsi="仿宋" w:eastAsia="仿宋" w:cs="仿宋"/>
          <w:b/>
          <w:bCs/>
          <w:color w:val="auto"/>
          <w:sz w:val="24"/>
          <w:szCs w:val="24"/>
          <w:u w:val="single"/>
        </w:rPr>
      </w:pPr>
      <w:r>
        <w:rPr>
          <w:rFonts w:hint="eastAsia" w:ascii="仿宋" w:hAnsi="仿宋" w:eastAsia="仿宋" w:cs="仿宋"/>
          <w:color w:val="auto"/>
          <w:sz w:val="24"/>
          <w:szCs w:val="24"/>
          <w:lang w:val="zh-CN"/>
        </w:rPr>
        <w:t>2.2 本合同需要明示的国家、法律法规：</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bCs/>
          <w:color w:val="auto"/>
          <w:sz w:val="24"/>
          <w:szCs w:val="24"/>
          <w:u w:val="single"/>
          <w:lang w:val="zh-CN"/>
        </w:rPr>
        <w:t>。</w:t>
      </w:r>
    </w:p>
    <w:p w14:paraId="391ABFDB">
      <w:pPr>
        <w:adjustRightInd w:val="0"/>
        <w:spacing w:line="440" w:lineRule="exact"/>
        <w:ind w:firstLine="482" w:firstLineChars="200"/>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二、双方一般权利和义务</w:t>
      </w:r>
    </w:p>
    <w:p w14:paraId="3B381272">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3、委托人的义务</w:t>
      </w:r>
    </w:p>
    <w:p w14:paraId="63EB0A00">
      <w:pPr>
        <w:adjustRightInd w:val="0"/>
        <w:spacing w:line="440" w:lineRule="exact"/>
        <w:ind w:firstLine="480" w:firstLineChars="200"/>
        <w:rPr>
          <w:rFonts w:hint="eastAsia" w:ascii="仿宋" w:hAnsi="仿宋" w:eastAsia="仿宋" w:cs="仿宋"/>
          <w:b/>
          <w:color w:val="auto"/>
          <w:sz w:val="21"/>
          <w:szCs w:val="21"/>
          <w:u w:val="single"/>
          <w:lang w:val="zh-CN"/>
        </w:rPr>
      </w:pPr>
      <w:r>
        <w:rPr>
          <w:rFonts w:hint="eastAsia" w:ascii="仿宋" w:hAnsi="仿宋" w:eastAsia="仿宋" w:cs="仿宋"/>
          <w:color w:val="auto"/>
          <w:sz w:val="24"/>
          <w:szCs w:val="24"/>
          <w:lang w:val="zh-CN"/>
        </w:rPr>
        <w:t>3.1 委托招标代理工作的具体范围和内容：</w:t>
      </w:r>
      <w:r>
        <w:rPr>
          <w:rFonts w:hint="eastAsia" w:ascii="仿宋" w:hAnsi="仿宋" w:eastAsia="仿宋" w:cs="仿宋"/>
          <w:b/>
          <w:color w:val="auto"/>
          <w:sz w:val="21"/>
          <w:szCs w:val="21"/>
          <w:u w:val="single"/>
          <w:lang w:val="zh-CN"/>
        </w:rPr>
        <w:t>办理招投标备案、资格审查、编制采购文件及相关资料表格、编制并刊登招标公告、有关问题答疑、查询投标人内在关联、组织开标、评标和定标会议、招标档案建立、</w:t>
      </w:r>
      <w:r>
        <w:rPr>
          <w:rFonts w:hint="eastAsia" w:ascii="仿宋" w:hAnsi="仿宋" w:eastAsia="仿宋" w:cs="仿宋"/>
          <w:b/>
          <w:color w:val="auto"/>
          <w:sz w:val="21"/>
          <w:szCs w:val="21"/>
          <w:highlight w:val="none"/>
          <w:u w:val="single"/>
          <w:lang w:val="zh-CN" w:eastAsia="zh-CN"/>
        </w:rPr>
        <w:t>合同备案、采购业务咨询、采购业务培训</w:t>
      </w:r>
      <w:r>
        <w:rPr>
          <w:rFonts w:hint="eastAsia" w:ascii="仿宋" w:hAnsi="仿宋" w:eastAsia="仿宋" w:cs="仿宋"/>
          <w:b/>
          <w:color w:val="auto"/>
          <w:sz w:val="21"/>
          <w:szCs w:val="21"/>
          <w:u w:val="single"/>
          <w:lang w:val="en-US" w:eastAsia="zh-CN"/>
        </w:rPr>
        <w:t>等委托人委托范围内的相关招标代理工作</w:t>
      </w:r>
      <w:r>
        <w:rPr>
          <w:rFonts w:hint="eastAsia" w:ascii="仿宋" w:hAnsi="仿宋" w:eastAsia="仿宋" w:cs="仿宋"/>
          <w:b/>
          <w:color w:val="auto"/>
          <w:sz w:val="21"/>
          <w:szCs w:val="21"/>
          <w:u w:val="single"/>
          <w:lang w:val="zh-CN"/>
        </w:rPr>
        <w:t>。（</w:t>
      </w:r>
      <w:r>
        <w:rPr>
          <w:rFonts w:hint="eastAsia" w:ascii="仿宋" w:hAnsi="仿宋" w:eastAsia="仿宋" w:cs="仿宋"/>
          <w:b/>
          <w:color w:val="auto"/>
          <w:sz w:val="21"/>
          <w:szCs w:val="21"/>
          <w:u w:val="single"/>
          <w:lang w:val="en-US" w:eastAsia="zh-CN"/>
        </w:rPr>
        <w:t>参照去年合同及2025年磋商上会材料内容</w:t>
      </w:r>
      <w:r>
        <w:rPr>
          <w:rFonts w:hint="eastAsia" w:ascii="仿宋" w:hAnsi="仿宋" w:eastAsia="仿宋" w:cs="仿宋"/>
          <w:b/>
          <w:color w:val="auto"/>
          <w:sz w:val="21"/>
          <w:szCs w:val="21"/>
          <w:u w:val="single"/>
          <w:lang w:val="zh-CN"/>
        </w:rPr>
        <w:t>）</w:t>
      </w:r>
    </w:p>
    <w:p w14:paraId="1B703D89">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3.2 委托人应按约定的时间和要求完成下列工作：</w:t>
      </w:r>
    </w:p>
    <w:p w14:paraId="4962CD46">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（1）向受托人提供本项目招标代理业务应具备的相关工作前期资料（如技术参数、设计图纸等）及资金落实情况资料的时间：</w:t>
      </w:r>
      <w:r>
        <w:rPr>
          <w:rFonts w:hint="eastAsia" w:ascii="仿宋" w:hAnsi="仿宋" w:eastAsia="仿宋" w:cs="仿宋"/>
          <w:b/>
          <w:color w:val="auto"/>
          <w:sz w:val="24"/>
          <w:szCs w:val="24"/>
          <w:u w:val="single"/>
          <w:lang w:val="zh-CN"/>
        </w:rPr>
        <w:t>委托项目后</w:t>
      </w:r>
      <w:r>
        <w:rPr>
          <w:rFonts w:hint="eastAsia" w:ascii="仿宋" w:hAnsi="仿宋" w:eastAsia="仿宋" w:cs="仿宋"/>
          <w:b/>
          <w:color w:val="auto"/>
          <w:sz w:val="24"/>
          <w:szCs w:val="24"/>
          <w:u w:val="single"/>
          <w:lang w:val="en-US" w:eastAsia="zh-CN"/>
        </w:rPr>
        <w:t>5</w:t>
      </w:r>
      <w:r>
        <w:rPr>
          <w:rFonts w:hint="eastAsia" w:ascii="仿宋" w:hAnsi="仿宋" w:eastAsia="仿宋" w:cs="仿宋"/>
          <w:b/>
          <w:color w:val="auto"/>
          <w:sz w:val="24"/>
          <w:szCs w:val="24"/>
          <w:u w:val="single"/>
          <w:lang w:val="zh-CN"/>
        </w:rPr>
        <w:t>天内。</w:t>
      </w:r>
    </w:p>
    <w:p w14:paraId="615B48F4">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（2）向受托人提供完全代理招标业务所需的全部资料的时间：</w:t>
      </w:r>
      <w:r>
        <w:rPr>
          <w:rFonts w:hint="eastAsia" w:ascii="仿宋" w:hAnsi="仿宋" w:eastAsia="仿宋" w:cs="仿宋"/>
          <w:b/>
          <w:color w:val="auto"/>
          <w:sz w:val="24"/>
          <w:szCs w:val="24"/>
          <w:u w:val="single"/>
          <w:lang w:val="zh-CN"/>
        </w:rPr>
        <w:t>满足招标进度要求。</w:t>
      </w:r>
    </w:p>
    <w:p w14:paraId="063BD6AA">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（3）向受托人提供保证招标工作顺利完成的条件：</w:t>
      </w:r>
      <w:r>
        <w:rPr>
          <w:rFonts w:hint="eastAsia" w:ascii="仿宋" w:hAnsi="仿宋" w:eastAsia="仿宋" w:cs="仿宋"/>
          <w:b/>
          <w:color w:val="auto"/>
          <w:sz w:val="24"/>
          <w:szCs w:val="24"/>
          <w:u w:val="single"/>
          <w:lang w:val="zh-CN"/>
        </w:rPr>
        <w:t>配合投标人资格审查、现场踏勘、专家抽取、开标及评标等工作的顺利进行；对受托人提出的问题及征求的意见给予及时反馈。</w:t>
      </w:r>
    </w:p>
    <w:p w14:paraId="6896FE72">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（4）指定的与受托人联系的人员</w:t>
      </w:r>
    </w:p>
    <w:p w14:paraId="6BC9CC4C">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姓名：</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u w:val="single"/>
          <w:lang w:val="en-US" w:eastAsia="zh-CN"/>
        </w:rPr>
        <w:t xml:space="preserve">    </w:t>
      </w:r>
    </w:p>
    <w:p w14:paraId="4DDB070F">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电话：</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lang w:val="zh-CN"/>
        </w:rPr>
        <w:t xml:space="preserve"> </w:t>
      </w:r>
    </w:p>
    <w:p w14:paraId="0D745308">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（5）需要与第三方协调的工作：</w:t>
      </w:r>
      <w:r>
        <w:rPr>
          <w:rFonts w:hint="eastAsia" w:ascii="仿宋" w:hAnsi="仿宋" w:eastAsia="仿宋" w:cs="仿宋"/>
          <w:b/>
          <w:color w:val="auto"/>
          <w:sz w:val="24"/>
          <w:szCs w:val="24"/>
          <w:u w:val="single"/>
          <w:lang w:val="zh-CN"/>
        </w:rPr>
        <w:t>满足招标进度要求</w:t>
      </w:r>
      <w:r>
        <w:rPr>
          <w:rFonts w:hint="eastAsia" w:ascii="仿宋" w:hAnsi="仿宋" w:eastAsia="仿宋" w:cs="仿宋"/>
          <w:color w:val="auto"/>
          <w:sz w:val="24"/>
          <w:szCs w:val="24"/>
          <w:lang w:val="zh-CN"/>
        </w:rPr>
        <w:t>；</w:t>
      </w:r>
    </w:p>
    <w:p w14:paraId="24172730">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（6）应尽的其他义务：</w:t>
      </w:r>
      <w:r>
        <w:rPr>
          <w:rFonts w:hint="eastAsia" w:ascii="仿宋" w:hAnsi="仿宋" w:eastAsia="仿宋" w:cs="仿宋"/>
          <w:b/>
          <w:color w:val="auto"/>
          <w:sz w:val="24"/>
          <w:szCs w:val="24"/>
          <w:u w:val="single"/>
          <w:lang w:val="zh-CN"/>
        </w:rPr>
        <w:t>无</w:t>
      </w:r>
      <w:r>
        <w:rPr>
          <w:rFonts w:hint="eastAsia" w:ascii="仿宋" w:hAnsi="仿宋" w:eastAsia="仿宋" w:cs="仿宋"/>
          <w:color w:val="auto"/>
          <w:sz w:val="24"/>
          <w:szCs w:val="24"/>
          <w:lang w:val="zh-CN"/>
        </w:rPr>
        <w:t>。</w:t>
      </w:r>
    </w:p>
    <w:p w14:paraId="68A17B76">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4、受托人的义务</w:t>
      </w:r>
    </w:p>
    <w:p w14:paraId="67327C3C">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4.1 招标代理项目负责人</w:t>
      </w:r>
    </w:p>
    <w:p w14:paraId="18B53D8C">
      <w:pPr>
        <w:adjustRightInd w:val="0"/>
        <w:spacing w:line="44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zh-CN"/>
        </w:rPr>
        <w:t>姓名：</w:t>
      </w:r>
      <w:r>
        <w:rPr>
          <w:rFonts w:hint="eastAsia" w:ascii="仿宋" w:hAnsi="仿宋" w:eastAsia="仿宋" w:cs="仿宋"/>
          <w:color w:val="auto"/>
          <w:sz w:val="24"/>
          <w:szCs w:val="24"/>
          <w:u w:val="single"/>
          <w:lang w:val="en-US" w:eastAsia="zh-CN"/>
        </w:rPr>
        <w:t xml:space="preserve">            </w:t>
      </w:r>
    </w:p>
    <w:p w14:paraId="18D6CF88">
      <w:pPr>
        <w:adjustRightInd w:val="0"/>
        <w:spacing w:line="44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zh-CN"/>
        </w:rPr>
        <w:t>电话：</w:t>
      </w:r>
      <w:r>
        <w:rPr>
          <w:rFonts w:hint="eastAsia" w:ascii="仿宋" w:hAnsi="仿宋" w:eastAsia="仿宋" w:cs="仿宋"/>
          <w:color w:val="auto"/>
          <w:sz w:val="24"/>
          <w:szCs w:val="24"/>
          <w:u w:val="single"/>
          <w:lang w:val="en-US" w:eastAsia="zh-CN"/>
        </w:rPr>
        <w:t xml:space="preserve">          </w:t>
      </w:r>
      <w:r>
        <w:rPr>
          <w:rStyle w:val="37"/>
          <w:rFonts w:hint="eastAsia" w:ascii="仿宋" w:hAnsi="仿宋" w:eastAsia="仿宋" w:cs="仿宋"/>
          <w:b/>
          <w:color w:val="auto"/>
          <w:sz w:val="24"/>
          <w:szCs w:val="24"/>
          <w:u w:val="single"/>
        </w:rPr>
        <w:t xml:space="preserve"> </w:t>
      </w:r>
    </w:p>
    <w:p w14:paraId="79D4DE6F">
      <w:pPr>
        <w:tabs>
          <w:tab w:val="left" w:pos="360"/>
        </w:tabs>
        <w:adjustRightInd/>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4.2 受托人应按约定的时间和要求完全下列工作：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该项是否需要把第50页采购需求  服务要求 相关内容补充完善进去？</w:t>
      </w:r>
      <w:r>
        <w:rPr>
          <w:rFonts w:hint="eastAsia" w:ascii="仿宋" w:hAnsi="仿宋" w:eastAsia="仿宋" w:cs="仿宋"/>
          <w:color w:val="auto"/>
          <w:sz w:val="24"/>
          <w:szCs w:val="24"/>
          <w:lang w:eastAsia="zh-CN"/>
        </w:rPr>
        <w:t>）</w:t>
      </w:r>
    </w:p>
    <w:p w14:paraId="773FD864">
      <w:pPr>
        <w:adjustRightInd w:val="0"/>
        <w:spacing w:line="440" w:lineRule="exact"/>
        <w:ind w:firstLine="480" w:firstLineChars="200"/>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（1）组织招标工作的内容和时间：</w:t>
      </w:r>
      <w:r>
        <w:rPr>
          <w:rFonts w:hint="eastAsia" w:ascii="仿宋" w:hAnsi="仿宋" w:eastAsia="仿宋" w:cs="仿宋"/>
          <w:b/>
          <w:color w:val="auto"/>
          <w:sz w:val="24"/>
          <w:szCs w:val="24"/>
          <w:u w:val="single"/>
          <w:lang w:val="zh-CN"/>
        </w:rPr>
        <w:t>（按招标工作的程序写明每项工作的具体内容和时间）在符合相关法律法规的前提下满足委托人的要求</w:t>
      </w:r>
      <w:r>
        <w:rPr>
          <w:rFonts w:hint="eastAsia" w:ascii="仿宋" w:hAnsi="仿宋" w:eastAsia="仿宋" w:cs="仿宋"/>
          <w:color w:val="auto"/>
          <w:sz w:val="24"/>
          <w:szCs w:val="24"/>
          <w:lang w:val="zh-CN"/>
        </w:rPr>
        <w:t>；</w:t>
      </w:r>
    </w:p>
    <w:p w14:paraId="05CD29E4">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（2）为招标人提供的为完成招标工作的相关咨询服务:</w:t>
      </w:r>
      <w:r>
        <w:rPr>
          <w:rFonts w:hint="eastAsia" w:ascii="仿宋" w:hAnsi="仿宋" w:eastAsia="仿宋" w:cs="仿宋"/>
          <w:b/>
          <w:color w:val="auto"/>
          <w:sz w:val="24"/>
          <w:szCs w:val="24"/>
          <w:u w:val="single"/>
          <w:lang w:val="zh-CN"/>
        </w:rPr>
        <w:t>执行合同“通用条款”第5条相关规定，并提供：招标备案手续编制、发布采购公告；编制采购文件；编制采购答疑或补遗书；依法组织开标及评标；编制评标报告；发布中标公告、办理相关后续备案等采购相关手续；提供全套采购备案资料</w:t>
      </w:r>
      <w:r>
        <w:rPr>
          <w:rFonts w:hint="eastAsia" w:ascii="仿宋" w:hAnsi="仿宋" w:eastAsia="仿宋" w:cs="仿宋"/>
          <w:b/>
          <w:color w:val="auto"/>
          <w:sz w:val="24"/>
          <w:szCs w:val="24"/>
          <w:lang w:val="zh-CN"/>
        </w:rPr>
        <w:t>；</w:t>
      </w:r>
    </w:p>
    <w:p w14:paraId="229A7B75">
      <w:pPr>
        <w:adjustRightInd w:val="0"/>
        <w:spacing w:line="440" w:lineRule="exact"/>
        <w:ind w:firstLine="480" w:firstLineChars="200"/>
        <w:rPr>
          <w:rFonts w:hint="eastAsia" w:ascii="仿宋" w:hAnsi="仿宋" w:eastAsia="仿宋" w:cs="仿宋"/>
          <w:b/>
          <w:color w:val="auto"/>
          <w:sz w:val="24"/>
          <w:szCs w:val="24"/>
          <w:u w:val="single"/>
          <w:lang w:val="zh-CN"/>
        </w:rPr>
      </w:pPr>
      <w:r>
        <w:rPr>
          <w:rFonts w:hint="eastAsia" w:ascii="仿宋" w:hAnsi="仿宋" w:eastAsia="仿宋" w:cs="仿宋"/>
          <w:color w:val="auto"/>
          <w:sz w:val="24"/>
          <w:szCs w:val="24"/>
          <w:lang w:val="zh-CN"/>
        </w:rPr>
        <w:t>（3）承担招标代理业务过程中，应由受托人支付的费用：</w:t>
      </w:r>
      <w:r>
        <w:rPr>
          <w:rFonts w:hint="eastAsia" w:ascii="仿宋" w:hAnsi="仿宋" w:eastAsia="仿宋" w:cs="仿宋"/>
          <w:b/>
          <w:color w:val="auto"/>
          <w:sz w:val="24"/>
          <w:szCs w:val="24"/>
          <w:u w:val="single"/>
          <w:lang w:val="zh-CN"/>
        </w:rPr>
        <w:t>评委专家评审费、差旅费、会务费，公证人员公证费等</w:t>
      </w:r>
      <w:r>
        <w:rPr>
          <w:rFonts w:hint="eastAsia" w:ascii="仿宋" w:hAnsi="仿宋" w:eastAsia="仿宋" w:cs="仿宋"/>
          <w:b/>
          <w:color w:val="auto"/>
          <w:sz w:val="24"/>
          <w:szCs w:val="24"/>
          <w:lang w:val="zh-CN"/>
        </w:rPr>
        <w:t>；</w:t>
      </w:r>
    </w:p>
    <w:p w14:paraId="07850538">
      <w:pPr>
        <w:adjustRightInd w:val="0"/>
        <w:spacing w:line="440" w:lineRule="exact"/>
        <w:ind w:firstLine="480" w:firstLineChars="200"/>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（4）应尽的其他义务：</w:t>
      </w:r>
      <w:r>
        <w:rPr>
          <w:rFonts w:hint="eastAsia" w:ascii="仿宋" w:hAnsi="仿宋" w:eastAsia="仿宋" w:cs="仿宋"/>
          <w:b/>
          <w:color w:val="auto"/>
          <w:sz w:val="24"/>
          <w:szCs w:val="24"/>
          <w:u w:val="single"/>
          <w:lang w:val="zh-CN"/>
        </w:rPr>
        <w:t>提供相关的咨询及招标代理过程中的协助工作</w:t>
      </w:r>
      <w:r>
        <w:rPr>
          <w:rFonts w:hint="eastAsia" w:ascii="仿宋" w:hAnsi="仿宋" w:eastAsia="仿宋" w:cs="仿宋"/>
          <w:b/>
          <w:color w:val="auto"/>
          <w:sz w:val="24"/>
          <w:szCs w:val="24"/>
          <w:lang w:val="zh-CN"/>
        </w:rPr>
        <w:t>。</w:t>
      </w:r>
    </w:p>
    <w:p w14:paraId="47F0AD7F">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5、委托人的权利</w:t>
      </w:r>
    </w:p>
    <w:p w14:paraId="551D9F36">
      <w:pPr>
        <w:adjustRightInd w:val="0"/>
        <w:spacing w:line="440" w:lineRule="exact"/>
        <w:ind w:firstLine="480" w:firstLineChars="200"/>
        <w:outlineLvl w:val="0"/>
        <w:rPr>
          <w:rFonts w:hint="eastAsia" w:ascii="仿宋" w:hAnsi="仿宋" w:eastAsia="仿宋" w:cs="仿宋"/>
          <w:b/>
          <w:color w:val="auto"/>
          <w:sz w:val="24"/>
          <w:szCs w:val="24"/>
          <w:u w:val="single"/>
          <w:lang w:val="zh-CN"/>
        </w:rPr>
      </w:pPr>
      <w:r>
        <w:rPr>
          <w:rFonts w:hint="eastAsia" w:ascii="仿宋" w:hAnsi="仿宋" w:eastAsia="仿宋" w:cs="仿宋"/>
          <w:color w:val="auto"/>
          <w:sz w:val="24"/>
          <w:szCs w:val="24"/>
          <w:lang w:val="zh-CN"/>
        </w:rPr>
        <w:t>5.1 委托人拥有的权利：</w:t>
      </w:r>
      <w:r>
        <w:rPr>
          <w:rFonts w:hint="eastAsia" w:ascii="仿宋" w:hAnsi="仿宋" w:eastAsia="仿宋" w:cs="仿宋"/>
          <w:b/>
          <w:color w:val="auto"/>
          <w:sz w:val="24"/>
          <w:szCs w:val="24"/>
          <w:u w:val="single"/>
          <w:lang w:val="zh-CN"/>
        </w:rPr>
        <w:t>对工作计划、备案资料、公告（投标邀请书）、资格审查、招标文件、现场踏勘、招标答疑、评标手册、开标、评标、发布中标通知书、后期备案等整个过程进行监督。</w:t>
      </w:r>
    </w:p>
    <w:p w14:paraId="52CC7564">
      <w:pPr>
        <w:adjustRightInd w:val="0"/>
        <w:spacing w:line="440" w:lineRule="exact"/>
        <w:ind w:firstLine="480" w:firstLineChars="200"/>
        <w:outlineLvl w:val="0"/>
        <w:rPr>
          <w:rFonts w:hint="eastAsia" w:ascii="仿宋" w:hAnsi="仿宋" w:eastAsia="仿宋" w:cs="仿宋"/>
          <w:b/>
          <w:color w:val="auto"/>
          <w:sz w:val="24"/>
          <w:szCs w:val="24"/>
          <w:u w:val="single"/>
          <w:vertAlign w:val="subscript"/>
        </w:rPr>
      </w:pPr>
      <w:r>
        <w:rPr>
          <w:rFonts w:hint="eastAsia" w:ascii="仿宋" w:hAnsi="仿宋" w:eastAsia="仿宋" w:cs="仿宋"/>
          <w:color w:val="auto"/>
          <w:sz w:val="24"/>
          <w:szCs w:val="24"/>
          <w:lang w:val="zh-CN"/>
        </w:rPr>
        <w:t>5.2 委托人拥有的其他权利：</w:t>
      </w:r>
      <w:r>
        <w:rPr>
          <w:rFonts w:hint="eastAsia" w:ascii="仿宋" w:hAnsi="仿宋" w:eastAsia="仿宋" w:cs="仿宋"/>
          <w:b/>
          <w:color w:val="auto"/>
          <w:sz w:val="24"/>
          <w:szCs w:val="24"/>
          <w:u w:val="single"/>
          <w:lang w:val="zh-CN"/>
        </w:rPr>
        <w:t>在招标代理项目负责人影响委托人工作效率和工作质量的前提下，要求受托人更换项目负责人。</w:t>
      </w:r>
    </w:p>
    <w:p w14:paraId="321C7BF8">
      <w:pPr>
        <w:tabs>
          <w:tab w:val="left" w:pos="540"/>
        </w:tabs>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6、受托人的权利</w:t>
      </w:r>
    </w:p>
    <w:p w14:paraId="6760534E">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6.1 受托人拥有的权利：</w:t>
      </w:r>
      <w:r>
        <w:rPr>
          <w:rFonts w:hint="eastAsia" w:ascii="仿宋" w:hAnsi="仿宋" w:eastAsia="仿宋" w:cs="仿宋"/>
          <w:b/>
          <w:color w:val="auto"/>
          <w:sz w:val="24"/>
          <w:szCs w:val="24"/>
          <w:u w:val="single"/>
          <w:lang w:val="zh-CN"/>
        </w:rPr>
        <w:t>依据合同约定范围依法开展招标活动。</w:t>
      </w:r>
    </w:p>
    <w:p w14:paraId="4B5F5274">
      <w:pPr>
        <w:adjustRightInd w:val="0"/>
        <w:spacing w:line="440" w:lineRule="exact"/>
        <w:ind w:firstLine="480" w:firstLineChars="200"/>
        <w:outlineLvl w:val="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6.2 受托人拥有的其他权利：</w:t>
      </w:r>
      <w:r>
        <w:rPr>
          <w:rFonts w:hint="eastAsia" w:ascii="仿宋" w:hAnsi="仿宋" w:eastAsia="仿宋" w:cs="仿宋"/>
          <w:b/>
          <w:color w:val="auto"/>
          <w:sz w:val="24"/>
          <w:szCs w:val="24"/>
          <w:u w:val="single"/>
          <w:lang w:val="zh-CN"/>
        </w:rPr>
        <w:t>向</w:t>
      </w:r>
      <w:r>
        <w:rPr>
          <w:rFonts w:hint="eastAsia" w:ascii="仿宋" w:hAnsi="仿宋" w:eastAsia="仿宋" w:cs="仿宋"/>
          <w:b/>
          <w:strike w:val="0"/>
          <w:color w:val="auto"/>
          <w:sz w:val="24"/>
          <w:szCs w:val="24"/>
          <w:u w:val="single"/>
          <w:lang w:val="en-US" w:eastAsia="zh-CN"/>
        </w:rPr>
        <w:t>委托人</w:t>
      </w:r>
      <w:r>
        <w:rPr>
          <w:rFonts w:hint="eastAsia" w:ascii="仿宋" w:hAnsi="仿宋" w:eastAsia="仿宋" w:cs="仿宋"/>
          <w:b/>
          <w:color w:val="auto"/>
          <w:sz w:val="24"/>
          <w:szCs w:val="24"/>
          <w:u w:val="single"/>
          <w:lang w:val="zh-CN"/>
        </w:rPr>
        <w:t>提供合理化意见。</w:t>
      </w:r>
    </w:p>
    <w:p w14:paraId="133E3837">
      <w:pPr>
        <w:adjustRightInd w:val="0"/>
        <w:spacing w:line="440" w:lineRule="exact"/>
        <w:ind w:firstLine="482" w:firstLineChars="200"/>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三、有关费用</w:t>
      </w:r>
    </w:p>
    <w:p w14:paraId="76C4C85D">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7、委托代理服务费</w:t>
      </w:r>
    </w:p>
    <w:p w14:paraId="75D0076E">
      <w:pPr>
        <w:spacing w:line="440" w:lineRule="exact"/>
        <w:ind w:firstLine="480" w:firstLineChars="200"/>
        <w:rPr>
          <w:rFonts w:hint="eastAsia" w:ascii="仿宋" w:hAnsi="仿宋" w:eastAsia="仿宋" w:cs="仿宋"/>
          <w:b/>
          <w:color w:val="auto"/>
          <w:sz w:val="24"/>
          <w:szCs w:val="24"/>
          <w:u w:val="single"/>
          <w:lang w:val="zh-CN"/>
        </w:rPr>
      </w:pPr>
      <w:r>
        <w:rPr>
          <w:rFonts w:hint="eastAsia" w:ascii="仿宋" w:hAnsi="仿宋" w:eastAsia="仿宋" w:cs="仿宋"/>
          <w:color w:val="auto"/>
          <w:sz w:val="24"/>
          <w:szCs w:val="24"/>
          <w:lang w:val="zh-CN"/>
        </w:rPr>
        <w:t>7.1 代理服务费的计算方法：</w:t>
      </w:r>
      <w:r>
        <w:rPr>
          <w:rFonts w:hint="eastAsia" w:ascii="仿宋" w:hAnsi="仿宋" w:eastAsia="仿宋" w:cs="仿宋"/>
          <w:b/>
          <w:bCs/>
          <w:color w:val="auto"/>
          <w:sz w:val="24"/>
          <w:szCs w:val="24"/>
          <w:u w:val="single"/>
          <w:lang w:val="en-US" w:eastAsia="zh-CN"/>
        </w:rPr>
        <w:t xml:space="preserve">                                </w:t>
      </w:r>
      <w:r>
        <w:rPr>
          <w:rFonts w:hint="eastAsia" w:ascii="仿宋" w:hAnsi="仿宋" w:eastAsia="仿宋" w:cs="仿宋"/>
          <w:b/>
          <w:color w:val="auto"/>
          <w:sz w:val="24"/>
          <w:szCs w:val="24"/>
          <w:u w:val="single"/>
          <w:lang w:val="zh-CN"/>
        </w:rPr>
        <w:t>。</w:t>
      </w:r>
    </w:p>
    <w:p w14:paraId="007A9836">
      <w:pPr>
        <w:spacing w:line="440" w:lineRule="exact"/>
        <w:ind w:firstLine="480" w:firstLineChars="200"/>
        <w:rPr>
          <w:rFonts w:hint="eastAsia" w:ascii="仿宋" w:hAnsi="仿宋" w:eastAsia="仿宋" w:cs="仿宋"/>
          <w:b/>
          <w:color w:val="auto"/>
          <w:sz w:val="24"/>
          <w:szCs w:val="24"/>
          <w:u w:val="single"/>
          <w:lang w:val="zh-CN"/>
        </w:rPr>
      </w:pPr>
      <w:r>
        <w:rPr>
          <w:rFonts w:hint="eastAsia" w:ascii="仿宋" w:hAnsi="仿宋" w:eastAsia="仿宋" w:cs="仿宋"/>
          <w:color w:val="auto"/>
          <w:sz w:val="24"/>
          <w:szCs w:val="24"/>
          <w:lang w:val="zh-CN"/>
        </w:rPr>
        <w:t>代理服务费的金额或收取比例</w:t>
      </w:r>
      <w:r>
        <w:rPr>
          <w:rFonts w:hint="eastAsia" w:ascii="仿宋" w:hAnsi="仿宋" w:eastAsia="仿宋" w:cs="仿宋"/>
          <w:b/>
          <w:color w:val="auto"/>
          <w:sz w:val="24"/>
          <w:szCs w:val="24"/>
          <w:u w:val="single"/>
          <w:lang w:val="zh-CN"/>
        </w:rPr>
        <w:t>：招标工作完成后，按中标金额为支付招标项目代理服务费的计费依据。</w:t>
      </w:r>
    </w:p>
    <w:p w14:paraId="50FC8732">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代理服务费的币种：</w:t>
      </w:r>
      <w:r>
        <w:rPr>
          <w:rFonts w:hint="eastAsia" w:ascii="仿宋" w:hAnsi="仿宋" w:eastAsia="仿宋" w:cs="仿宋"/>
          <w:b/>
          <w:color w:val="auto"/>
          <w:sz w:val="24"/>
          <w:szCs w:val="24"/>
          <w:u w:val="single"/>
          <w:lang w:val="zh-CN"/>
        </w:rPr>
        <w:t xml:space="preserve"> 人民币</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汇率：</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28947DDB">
      <w:pPr>
        <w:adjustRightInd w:val="0"/>
        <w:spacing w:line="440" w:lineRule="exact"/>
        <w:ind w:firstLine="480" w:firstLineChars="200"/>
        <w:rPr>
          <w:rFonts w:hint="eastAsia" w:ascii="仿宋" w:hAnsi="仿宋" w:eastAsia="仿宋" w:cs="仿宋"/>
          <w:b/>
          <w:color w:val="auto"/>
          <w:sz w:val="24"/>
          <w:szCs w:val="24"/>
          <w:u w:val="single"/>
          <w:lang w:val="zh-CN"/>
        </w:rPr>
      </w:pPr>
      <w:r>
        <w:rPr>
          <w:rFonts w:hint="eastAsia" w:ascii="仿宋" w:hAnsi="仿宋" w:eastAsia="仿宋" w:cs="仿宋"/>
          <w:color w:val="auto"/>
          <w:sz w:val="24"/>
          <w:szCs w:val="24"/>
          <w:lang w:val="zh-CN"/>
        </w:rPr>
        <w:t>代理服务费的支付时间：</w:t>
      </w:r>
      <w:r>
        <w:rPr>
          <w:rFonts w:hint="eastAsia" w:ascii="仿宋" w:hAnsi="仿宋" w:eastAsia="仿宋" w:cs="仿宋"/>
          <w:b/>
          <w:color w:val="auto"/>
          <w:sz w:val="24"/>
          <w:szCs w:val="24"/>
          <w:u w:val="single"/>
          <w:lang w:val="zh-CN"/>
        </w:rPr>
        <w:t>招标工作完成、发出中标通知书后由中标人支付项目代理服务费。</w:t>
      </w:r>
    </w:p>
    <w:p w14:paraId="3296086B">
      <w:pPr>
        <w:adjustRightInd w:val="0"/>
        <w:spacing w:line="440" w:lineRule="exact"/>
        <w:ind w:firstLine="480" w:firstLineChars="200"/>
        <w:rPr>
          <w:rFonts w:hint="eastAsia" w:ascii="仿宋" w:hAnsi="仿宋" w:eastAsia="仿宋" w:cs="仿宋"/>
          <w:b/>
          <w:color w:val="auto"/>
          <w:sz w:val="24"/>
          <w:szCs w:val="24"/>
          <w:u w:val="single"/>
          <w:lang w:val="zh-CN"/>
        </w:rPr>
      </w:pPr>
      <w:r>
        <w:rPr>
          <w:rFonts w:hint="eastAsia" w:ascii="仿宋" w:hAnsi="仿宋" w:eastAsia="仿宋" w:cs="仿宋"/>
          <w:color w:val="auto"/>
          <w:sz w:val="24"/>
          <w:szCs w:val="24"/>
          <w:lang w:val="zh-CN"/>
        </w:rPr>
        <w:t>代理服务费的支付方式：</w:t>
      </w:r>
      <w:r>
        <w:rPr>
          <w:rFonts w:hint="eastAsia" w:ascii="仿宋" w:hAnsi="仿宋" w:eastAsia="仿宋" w:cs="仿宋"/>
          <w:b/>
          <w:color w:val="auto"/>
          <w:sz w:val="24"/>
          <w:szCs w:val="24"/>
          <w:u w:val="single"/>
          <w:lang w:val="zh-CN"/>
        </w:rPr>
        <w:t xml:space="preserve"> 由中标人按本合同支付。</w:t>
      </w:r>
    </w:p>
    <w:p w14:paraId="3886A1B9">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7.2 预计委托代理费用额度（比例）：</w:t>
      </w:r>
      <w:r>
        <w:rPr>
          <w:rFonts w:hint="eastAsia" w:ascii="仿宋" w:hAnsi="仿宋" w:eastAsia="仿宋" w:cs="仿宋"/>
          <w:color w:val="auto"/>
          <w:sz w:val="24"/>
          <w:szCs w:val="24"/>
          <w:u w:val="single"/>
          <w:lang w:val="zh-CN"/>
        </w:rPr>
        <w:t xml:space="preserve"> </w:t>
      </w:r>
      <w:r>
        <w:rPr>
          <w:rFonts w:hint="eastAsia" w:ascii="仿宋" w:hAnsi="仿宋" w:eastAsia="仿宋" w:cs="仿宋"/>
          <w:b/>
          <w:color w:val="auto"/>
          <w:sz w:val="24"/>
          <w:szCs w:val="24"/>
          <w:u w:val="single"/>
          <w:lang w:val="zh-CN"/>
        </w:rPr>
        <w:t xml:space="preserve">无 </w:t>
      </w:r>
      <w:r>
        <w:rPr>
          <w:rFonts w:hint="eastAsia" w:ascii="仿宋" w:hAnsi="仿宋" w:eastAsia="仿宋" w:cs="仿宋"/>
          <w:b/>
          <w:color w:val="auto"/>
          <w:sz w:val="24"/>
          <w:szCs w:val="24"/>
          <w:lang w:val="zh-CN"/>
        </w:rPr>
        <w:t>。</w:t>
      </w:r>
    </w:p>
    <w:p w14:paraId="7C62915F">
      <w:pPr>
        <w:adjustRightInd w:val="0"/>
        <w:spacing w:line="440" w:lineRule="exact"/>
        <w:ind w:firstLine="480" w:firstLineChars="200"/>
        <w:outlineLvl w:val="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7.3 逾期支付时，银行贷款利率：</w:t>
      </w:r>
      <w:r>
        <w:rPr>
          <w:rFonts w:hint="eastAsia" w:ascii="仿宋" w:hAnsi="仿宋" w:eastAsia="仿宋" w:cs="仿宋"/>
          <w:color w:val="auto"/>
          <w:sz w:val="24"/>
          <w:szCs w:val="24"/>
          <w:u w:val="single"/>
          <w:lang w:val="zh-CN"/>
        </w:rPr>
        <w:t xml:space="preserve"> </w:t>
      </w:r>
      <w:r>
        <w:rPr>
          <w:rFonts w:hint="eastAsia" w:ascii="仿宋" w:hAnsi="仿宋" w:eastAsia="仿宋" w:cs="仿宋"/>
          <w:b/>
          <w:color w:val="auto"/>
          <w:sz w:val="24"/>
          <w:szCs w:val="24"/>
          <w:u w:val="single"/>
          <w:lang w:val="zh-CN"/>
        </w:rPr>
        <w:t xml:space="preserve">无 </w:t>
      </w:r>
      <w:r>
        <w:rPr>
          <w:rFonts w:hint="eastAsia" w:ascii="仿宋" w:hAnsi="仿宋" w:eastAsia="仿宋" w:cs="仿宋"/>
          <w:b/>
          <w:color w:val="auto"/>
          <w:sz w:val="24"/>
          <w:szCs w:val="24"/>
          <w:lang w:val="zh-CN"/>
        </w:rPr>
        <w:t>。</w:t>
      </w:r>
    </w:p>
    <w:p w14:paraId="34134D70">
      <w:pPr>
        <w:adjustRightInd w:val="0"/>
        <w:spacing w:line="440" w:lineRule="exact"/>
        <w:ind w:firstLine="480" w:firstLineChars="200"/>
        <w:rPr>
          <w:rFonts w:hint="eastAsia" w:ascii="仿宋" w:hAnsi="仿宋" w:eastAsia="仿宋" w:cs="仿宋"/>
          <w:b/>
          <w:color w:val="auto"/>
          <w:sz w:val="24"/>
          <w:szCs w:val="24"/>
          <w:lang w:val="zh-CN"/>
        </w:rPr>
      </w:pPr>
      <w:r>
        <w:rPr>
          <w:rFonts w:hint="eastAsia" w:ascii="仿宋" w:hAnsi="仿宋" w:eastAsia="仿宋" w:cs="仿宋"/>
          <w:color w:val="auto"/>
          <w:sz w:val="24"/>
          <w:szCs w:val="24"/>
          <w:lang w:val="zh-CN"/>
        </w:rPr>
        <w:t>7.4 逾期支付时，应收取的利息：</w:t>
      </w:r>
      <w:r>
        <w:rPr>
          <w:rFonts w:hint="eastAsia" w:ascii="仿宋" w:hAnsi="仿宋" w:eastAsia="仿宋" w:cs="仿宋"/>
          <w:b/>
          <w:color w:val="auto"/>
          <w:sz w:val="24"/>
          <w:szCs w:val="24"/>
          <w:u w:val="single"/>
          <w:lang w:val="zh-CN"/>
        </w:rPr>
        <w:t xml:space="preserve"> 无 </w:t>
      </w:r>
      <w:r>
        <w:rPr>
          <w:rFonts w:hint="eastAsia" w:ascii="仿宋" w:hAnsi="仿宋" w:eastAsia="仿宋" w:cs="仿宋"/>
          <w:b/>
          <w:color w:val="auto"/>
          <w:sz w:val="24"/>
          <w:szCs w:val="24"/>
          <w:lang w:val="zh-CN"/>
        </w:rPr>
        <w:t>。</w:t>
      </w:r>
    </w:p>
    <w:p w14:paraId="51A57288">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8、文件费（报名费）</w:t>
      </w:r>
    </w:p>
    <w:p w14:paraId="0BF66D57">
      <w:pPr>
        <w:adjustRightInd w:val="0"/>
        <w:spacing w:line="440" w:lineRule="exact"/>
        <w:ind w:firstLine="480" w:firstLineChars="200"/>
        <w:rPr>
          <w:rFonts w:hint="eastAsia" w:ascii="仿宋" w:hAnsi="仿宋" w:eastAsia="仿宋" w:cs="仿宋"/>
          <w:b/>
          <w:color w:val="auto"/>
          <w:sz w:val="24"/>
          <w:szCs w:val="24"/>
          <w:u w:val="single"/>
          <w:lang w:val="zh-CN"/>
        </w:rPr>
      </w:pPr>
      <w:r>
        <w:rPr>
          <w:rFonts w:hint="eastAsia" w:ascii="仿宋" w:hAnsi="仿宋" w:eastAsia="仿宋" w:cs="仿宋"/>
          <w:color w:val="auto"/>
          <w:sz w:val="24"/>
          <w:szCs w:val="24"/>
          <w:lang w:val="zh-CN"/>
        </w:rPr>
        <w:t>文件费（报名费）的支付方式：</w:t>
      </w:r>
      <w:r>
        <w:rPr>
          <w:rFonts w:hint="eastAsia" w:ascii="仿宋" w:hAnsi="仿宋" w:eastAsia="仿宋" w:cs="仿宋"/>
          <w:b/>
          <w:color w:val="auto"/>
          <w:sz w:val="24"/>
          <w:szCs w:val="24"/>
          <w:u w:val="single"/>
          <w:lang w:val="zh-CN"/>
        </w:rPr>
        <w:t>由投标人全额支付。</w:t>
      </w:r>
    </w:p>
    <w:p w14:paraId="686A892B">
      <w:pPr>
        <w:adjustRightInd w:val="0"/>
        <w:spacing w:line="440" w:lineRule="exact"/>
        <w:ind w:firstLine="480" w:firstLineChars="200"/>
        <w:rPr>
          <w:rFonts w:hint="eastAsia" w:ascii="仿宋" w:hAnsi="仿宋" w:eastAsia="仿宋" w:cs="仿宋"/>
          <w:b/>
          <w:color w:val="auto"/>
          <w:sz w:val="24"/>
          <w:szCs w:val="24"/>
          <w:u w:val="single"/>
          <w:lang w:val="zh-CN"/>
        </w:rPr>
      </w:pPr>
      <w:r>
        <w:rPr>
          <w:rFonts w:hint="eastAsia" w:ascii="仿宋" w:hAnsi="仿宋" w:eastAsia="仿宋" w:cs="仿宋"/>
          <w:color w:val="auto"/>
          <w:sz w:val="24"/>
          <w:szCs w:val="24"/>
          <w:lang w:val="zh-CN"/>
        </w:rPr>
        <w:t>文件费（报名费）的计算方法：</w:t>
      </w:r>
      <w:r>
        <w:rPr>
          <w:rFonts w:hint="eastAsia" w:ascii="仿宋" w:hAnsi="仿宋" w:eastAsia="仿宋" w:cs="仿宋"/>
          <w:b/>
          <w:color w:val="auto"/>
          <w:sz w:val="24"/>
          <w:szCs w:val="24"/>
          <w:u w:val="single"/>
          <w:lang w:val="zh-CN"/>
        </w:rPr>
        <w:t>常规项目文件费（报名费）按不超过</w:t>
      </w:r>
      <w:r>
        <w:rPr>
          <w:rFonts w:hint="eastAsia" w:ascii="仿宋" w:hAnsi="仿宋" w:eastAsia="仿宋" w:cs="仿宋"/>
          <w:b/>
          <w:color w:val="auto"/>
          <w:sz w:val="24"/>
          <w:szCs w:val="24"/>
          <w:u w:val="single"/>
          <w:lang w:val="en-US" w:eastAsia="zh-CN"/>
        </w:rPr>
        <w:t>1200</w:t>
      </w:r>
      <w:r>
        <w:rPr>
          <w:rFonts w:hint="eastAsia" w:ascii="仿宋" w:hAnsi="仿宋" w:eastAsia="仿宋" w:cs="仿宋"/>
          <w:b/>
          <w:color w:val="auto"/>
          <w:sz w:val="24"/>
          <w:szCs w:val="24"/>
          <w:u w:val="single"/>
          <w:lang w:val="zh-CN"/>
        </w:rPr>
        <w:t>元/份收取。（</w:t>
      </w:r>
      <w:r>
        <w:rPr>
          <w:rFonts w:hint="eastAsia" w:ascii="仿宋" w:hAnsi="仿宋" w:eastAsia="仿宋" w:cs="仿宋"/>
          <w:b/>
          <w:color w:val="auto"/>
          <w:sz w:val="24"/>
          <w:szCs w:val="24"/>
          <w:u w:val="single"/>
          <w:lang w:val="en-US" w:eastAsia="zh-CN"/>
        </w:rPr>
        <w:t>请核实金额依据，不要少了或者超了</w:t>
      </w:r>
      <w:r>
        <w:rPr>
          <w:rFonts w:hint="eastAsia" w:ascii="仿宋" w:hAnsi="仿宋" w:eastAsia="仿宋" w:cs="仿宋"/>
          <w:b/>
          <w:color w:val="auto"/>
          <w:sz w:val="24"/>
          <w:szCs w:val="24"/>
          <w:u w:val="single"/>
          <w:lang w:val="zh-CN"/>
        </w:rPr>
        <w:t>）</w:t>
      </w:r>
    </w:p>
    <w:p w14:paraId="0EB27F64">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文件费（报名费）的币种：</w:t>
      </w:r>
      <w:r>
        <w:rPr>
          <w:rFonts w:hint="eastAsia" w:ascii="仿宋" w:hAnsi="仿宋" w:eastAsia="仿宋" w:cs="仿宋"/>
          <w:b/>
          <w:color w:val="auto"/>
          <w:sz w:val="24"/>
          <w:szCs w:val="24"/>
          <w:u w:val="single"/>
          <w:lang w:val="zh-CN"/>
        </w:rPr>
        <w:t xml:space="preserve"> 人民币</w:t>
      </w:r>
      <w:r>
        <w:rPr>
          <w:rFonts w:hint="eastAsia" w:ascii="仿宋" w:hAnsi="仿宋" w:eastAsia="仿宋" w:cs="仿宋"/>
          <w:color w:val="auto"/>
          <w:sz w:val="24"/>
          <w:szCs w:val="24"/>
          <w:u w:val="single"/>
          <w:lang w:val="zh-CN"/>
        </w:rPr>
        <w:t xml:space="preserve"> </w:t>
      </w:r>
      <w:r>
        <w:rPr>
          <w:rFonts w:hint="eastAsia" w:ascii="仿宋" w:hAnsi="仿宋" w:eastAsia="仿宋" w:cs="仿宋"/>
          <w:color w:val="auto"/>
          <w:sz w:val="24"/>
          <w:szCs w:val="24"/>
          <w:lang w:val="zh-CN"/>
        </w:rPr>
        <w:t xml:space="preserve">  </w:t>
      </w:r>
      <w:r>
        <w:rPr>
          <w:rFonts w:hint="eastAsia" w:ascii="仿宋" w:hAnsi="仿宋" w:eastAsia="仿宋" w:cs="仿宋"/>
          <w:color w:val="auto"/>
          <w:sz w:val="24"/>
          <w:szCs w:val="24"/>
        </w:rPr>
        <w:t>汇率：</w:t>
      </w:r>
      <w:r>
        <w:rPr>
          <w:rFonts w:hint="eastAsia" w:ascii="仿宋" w:hAnsi="仿宋" w:eastAsia="仿宋" w:cs="仿宋"/>
          <w:color w:val="auto"/>
          <w:sz w:val="24"/>
          <w:szCs w:val="24"/>
          <w:u w:val="single"/>
        </w:rPr>
        <w:t xml:space="preserve">   </w:t>
      </w:r>
      <w:r>
        <w:rPr>
          <w:rFonts w:hint="eastAsia" w:ascii="仿宋" w:hAnsi="仿宋" w:eastAsia="仿宋" w:cs="仿宋"/>
          <w:b/>
          <w:color w:val="auto"/>
          <w:sz w:val="24"/>
          <w:szCs w:val="24"/>
          <w:u w:val="single"/>
        </w:rPr>
        <w:t>无</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w:t>
      </w:r>
    </w:p>
    <w:p w14:paraId="78216B07">
      <w:pPr>
        <w:adjustRightInd w:val="0"/>
        <w:spacing w:line="440" w:lineRule="exact"/>
        <w:ind w:firstLine="482" w:firstLineChars="200"/>
        <w:outlineLvl w:val="0"/>
        <w:rPr>
          <w:rFonts w:hint="eastAsia" w:ascii="仿宋" w:hAnsi="仿宋" w:eastAsia="仿宋" w:cs="仿宋"/>
          <w:b/>
          <w:bCs/>
          <w:color w:val="auto"/>
          <w:sz w:val="24"/>
          <w:szCs w:val="24"/>
          <w:lang w:val="zh-CN"/>
        </w:rPr>
      </w:pPr>
      <w:r>
        <w:rPr>
          <w:rFonts w:hint="eastAsia" w:ascii="仿宋" w:hAnsi="仿宋" w:eastAsia="仿宋" w:cs="仿宋"/>
          <w:b/>
          <w:bCs/>
          <w:color w:val="auto"/>
          <w:sz w:val="24"/>
          <w:szCs w:val="24"/>
          <w:lang w:val="zh-CN"/>
        </w:rPr>
        <w:t>四、违约、索赔和争议</w:t>
      </w:r>
    </w:p>
    <w:p w14:paraId="47BC7F65">
      <w:pPr>
        <w:adjustRightInd w:val="0"/>
        <w:spacing w:line="440" w:lineRule="exact"/>
        <w:ind w:firstLine="482" w:firstLineChars="200"/>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en-US" w:eastAsia="zh-CN"/>
        </w:rPr>
        <w:t>9</w:t>
      </w:r>
      <w:r>
        <w:rPr>
          <w:rFonts w:hint="eastAsia" w:ascii="仿宋" w:hAnsi="仿宋" w:eastAsia="仿宋" w:cs="仿宋"/>
          <w:b/>
          <w:color w:val="auto"/>
          <w:sz w:val="24"/>
          <w:szCs w:val="24"/>
          <w:lang w:val="zh-CN"/>
        </w:rPr>
        <w:t>、违约</w:t>
      </w:r>
    </w:p>
    <w:p w14:paraId="4574328E">
      <w:pPr>
        <w:adjustRightInd w:val="0"/>
        <w:spacing w:line="440" w:lineRule="exact"/>
        <w:ind w:firstLine="480" w:firstLineChars="200"/>
        <w:outlineLvl w:val="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val="zh-CN"/>
        </w:rPr>
        <w:t xml:space="preserve">.1 本合同关于委托人违约的具体责任： </w:t>
      </w:r>
    </w:p>
    <w:p w14:paraId="2AA46623">
      <w:pPr>
        <w:adjustRightInd w:val="0"/>
        <w:spacing w:line="440" w:lineRule="exact"/>
        <w:ind w:firstLine="480" w:firstLineChars="200"/>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（1）委托人未按照本合同通用条款第4.2－（3）款的约定，向受托人提供保证招标工作顺利完成的条件应承担的违约责任：</w:t>
      </w:r>
      <w:r>
        <w:rPr>
          <w:rFonts w:hint="eastAsia" w:ascii="仿宋" w:hAnsi="仿宋" w:eastAsia="仿宋" w:cs="仿宋"/>
          <w:b/>
          <w:color w:val="auto"/>
          <w:sz w:val="24"/>
          <w:szCs w:val="24"/>
          <w:u w:val="single"/>
          <w:lang w:val="zh-CN"/>
        </w:rPr>
        <w:t>对招标进度负责。</w:t>
      </w:r>
    </w:p>
    <w:p w14:paraId="4342B33C">
      <w:pPr>
        <w:adjustRightInd w:val="0"/>
        <w:spacing w:line="440" w:lineRule="exact"/>
        <w:ind w:firstLine="480" w:firstLineChars="200"/>
        <w:rPr>
          <w:rFonts w:hint="eastAsia" w:ascii="仿宋" w:hAnsi="仿宋" w:eastAsia="仿宋" w:cs="仿宋"/>
          <w:b/>
          <w:color w:val="auto"/>
          <w:sz w:val="24"/>
          <w:szCs w:val="24"/>
          <w:u w:val="single"/>
          <w:lang w:val="zh-CN"/>
        </w:rPr>
      </w:pPr>
      <w:r>
        <w:rPr>
          <w:rFonts w:hint="eastAsia" w:ascii="仿宋" w:hAnsi="仿宋" w:eastAsia="仿宋" w:cs="仿宋"/>
          <w:color w:val="auto"/>
          <w:sz w:val="24"/>
          <w:szCs w:val="24"/>
          <w:lang w:val="zh-CN"/>
        </w:rPr>
        <w:t>（2）双方约定的委托人的其他违约责任：</w:t>
      </w:r>
      <w:r>
        <w:rPr>
          <w:rFonts w:hint="eastAsia" w:ascii="仿宋" w:hAnsi="仿宋" w:eastAsia="仿宋" w:cs="仿宋"/>
          <w:b/>
          <w:color w:val="auto"/>
          <w:sz w:val="24"/>
          <w:szCs w:val="24"/>
          <w:u w:val="single"/>
          <w:lang w:val="zh-CN"/>
        </w:rPr>
        <w:t xml:space="preserve"> 无；</w:t>
      </w:r>
    </w:p>
    <w:p w14:paraId="50DA27AF">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lang w:val="zh-CN"/>
        </w:rPr>
        <w:t xml:space="preserve">.2 本合同关于受托人违约的具体责任： </w:t>
      </w:r>
    </w:p>
    <w:p w14:paraId="3279B5CE">
      <w:pPr>
        <w:adjustRightInd w:val="0"/>
        <w:spacing w:line="440" w:lineRule="exact"/>
        <w:ind w:firstLine="440" w:firstLineChars="200"/>
        <w:rPr>
          <w:rFonts w:hint="eastAsia" w:ascii="仿宋" w:hAnsi="仿宋" w:eastAsia="仿宋" w:cs="仿宋"/>
          <w:color w:val="auto"/>
          <w:sz w:val="24"/>
          <w:szCs w:val="24"/>
          <w:lang w:val="zh-CN"/>
        </w:rPr>
      </w:pPr>
      <w:r>
        <w:rPr>
          <w:rFonts w:hint="eastAsia" w:ascii="仿宋" w:hAnsi="仿宋" w:eastAsia="仿宋" w:cs="仿宋"/>
          <w:color w:val="auto"/>
          <w:kern w:val="0"/>
          <w:sz w:val="22"/>
          <w:szCs w:val="22"/>
          <w:lang w:val="zh-CN"/>
        </w:rPr>
        <w:t>（</w:t>
      </w:r>
      <w:r>
        <w:rPr>
          <w:rFonts w:hint="eastAsia" w:ascii="仿宋" w:hAnsi="仿宋" w:eastAsia="仿宋" w:cs="仿宋"/>
          <w:color w:val="auto"/>
          <w:sz w:val="24"/>
          <w:szCs w:val="24"/>
          <w:lang w:val="zh-CN"/>
        </w:rPr>
        <w:t>1）受托人未按照本合同通用条款第5.2（2）款的约定，向委托人提供为完成招标工作的咨询服务应承担的违约责任：</w:t>
      </w:r>
      <w:r>
        <w:rPr>
          <w:rFonts w:hint="eastAsia" w:ascii="仿宋" w:hAnsi="仿宋" w:eastAsia="仿宋" w:cs="仿宋"/>
          <w:color w:val="auto"/>
          <w:sz w:val="24"/>
          <w:szCs w:val="24"/>
          <w:u w:val="single"/>
          <w:lang w:val="zh-CN"/>
        </w:rPr>
        <w:t>委托人有权要求单方解除本合同，并有权要求受托人承担因此所造成的全部损失</w:t>
      </w:r>
      <w:r>
        <w:rPr>
          <w:rFonts w:hint="eastAsia" w:ascii="仿宋" w:hAnsi="仿宋" w:eastAsia="仿宋" w:cs="仿宋"/>
          <w:color w:val="auto"/>
          <w:sz w:val="24"/>
          <w:szCs w:val="24"/>
          <w:lang w:val="zh-CN"/>
        </w:rPr>
        <w:t>。</w:t>
      </w:r>
    </w:p>
    <w:p w14:paraId="5CAA75A8">
      <w:pPr>
        <w:adjustRightInd w:val="0"/>
        <w:spacing w:line="360" w:lineRule="auto"/>
        <w:ind w:firstLine="480" w:firstLineChars="200"/>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（2）受托人违反本合同通用条款第5.4款的约定，接受了与本合同项目有关的投标咨询业务应承担的违约责任：</w:t>
      </w:r>
      <w:r>
        <w:rPr>
          <w:rFonts w:hint="eastAsia" w:ascii="仿宋" w:hAnsi="仿宋" w:eastAsia="仿宋" w:cs="仿宋"/>
          <w:color w:val="auto"/>
          <w:sz w:val="24"/>
          <w:szCs w:val="24"/>
          <w:u w:val="single"/>
          <w:lang w:val="zh-CN"/>
        </w:rPr>
        <w:t>委托人有权要求单方解除本合同，并有权要求受托人承担违约责任。</w:t>
      </w:r>
    </w:p>
    <w:p w14:paraId="5E6CFBEC">
      <w:pPr>
        <w:pStyle w:val="26"/>
        <w:spacing w:line="360" w:lineRule="auto"/>
        <w:rPr>
          <w:rFonts w:hint="default" w:eastAsia="仿宋"/>
          <w:color w:val="auto"/>
          <w:lang w:val="en-US" w:eastAsia="zh-CN"/>
        </w:rPr>
      </w:pPr>
      <w:r>
        <w:rPr>
          <w:rFonts w:hint="eastAsia" w:ascii="仿宋" w:hAnsi="仿宋" w:eastAsia="仿宋" w:cs="仿宋"/>
          <w:color w:val="auto"/>
          <w:sz w:val="24"/>
          <w:szCs w:val="24"/>
          <w:u w:val="single"/>
          <w:lang w:val="en-US" w:eastAsia="zh-CN"/>
        </w:rPr>
        <w:t>通用条款第5.6项是否需要添加进去？</w:t>
      </w:r>
    </w:p>
    <w:p w14:paraId="50E85121">
      <w:pPr>
        <w:pStyle w:val="26"/>
        <w:numPr>
          <w:ilvl w:val="0"/>
          <w:numId w:val="4"/>
        </w:numPr>
        <w:spacing w:line="360" w:lineRule="auto"/>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受托人违反本合同通用条款第5.7款的约定，泄露了与本合同工程相关的任何不应泄露的招标资料和情况应承担的违约责任</w:t>
      </w:r>
      <w:r>
        <w:rPr>
          <w:rFonts w:hint="eastAsia" w:ascii="仿宋" w:hAnsi="仿宋" w:eastAsia="仿宋" w:cs="仿宋"/>
          <w:color w:val="auto"/>
          <w:sz w:val="24"/>
          <w:szCs w:val="24"/>
          <w:u w:val="single"/>
          <w:lang w:val="zh-CN"/>
        </w:rPr>
        <w:t>：委托人有权要求单方解除本合同，并有权要求受托人承担违约责任。</w:t>
      </w:r>
    </w:p>
    <w:p w14:paraId="078D6D38">
      <w:pPr>
        <w:pStyle w:val="26"/>
        <w:numPr>
          <w:ilvl w:val="0"/>
          <w:numId w:val="0"/>
        </w:numPr>
        <w:adjustRightInd w:val="0"/>
        <w:spacing w:line="360" w:lineRule="auto"/>
        <w:ind w:firstLine="480" w:firstLineChars="200"/>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u w:val="single"/>
          <w:lang w:val="en-US" w:eastAsia="zh-CN"/>
        </w:rPr>
        <w:t>通用条款第5.8项是否需要添加进去？</w:t>
      </w:r>
    </w:p>
    <w:p w14:paraId="294A49BB">
      <w:pPr>
        <w:adjustRightInd w:val="0"/>
        <w:spacing w:line="360" w:lineRule="auto"/>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（4）双方约定的受托人的其他违约责任：</w:t>
      </w:r>
    </w:p>
    <w:p w14:paraId="297022E7">
      <w:pPr>
        <w:adjustRightInd w:val="0"/>
        <w:spacing w:line="360" w:lineRule="auto"/>
        <w:ind w:firstLine="480" w:firstLineChars="200"/>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A、</w:t>
      </w:r>
      <w:r>
        <w:rPr>
          <w:rFonts w:hint="eastAsia" w:ascii="仿宋" w:hAnsi="仿宋" w:eastAsia="仿宋" w:cs="仿宋"/>
          <w:color w:val="auto"/>
          <w:sz w:val="24"/>
          <w:szCs w:val="24"/>
          <w:u w:val="single"/>
          <w:lang w:val="zh-CN"/>
        </w:rPr>
        <w:t>受托人未能按照本合同中约定的程序起草、制定、编制《招标文件》和开展招标投标活动的，如给委托人造成损失的，委托人有权单方解除双方签订的招标代理合同及相关合同附件，并要求受托人承担因此所造成的全部损失。</w:t>
      </w:r>
    </w:p>
    <w:p w14:paraId="0213F6F9">
      <w:pPr>
        <w:adjustRightInd w:val="0"/>
        <w:spacing w:line="360" w:lineRule="auto"/>
        <w:ind w:firstLine="480" w:firstLineChars="200"/>
        <w:rPr>
          <w:rFonts w:hint="eastAsia" w:ascii="仿宋" w:hAnsi="仿宋" w:eastAsia="仿宋" w:cs="仿宋"/>
          <w:color w:val="auto"/>
          <w:sz w:val="24"/>
          <w:szCs w:val="24"/>
          <w:u w:val="single"/>
          <w:lang w:val="zh-CN"/>
        </w:rPr>
      </w:pPr>
      <w:r>
        <w:rPr>
          <w:rFonts w:hint="eastAsia" w:ascii="仿宋" w:hAnsi="仿宋" w:eastAsia="仿宋" w:cs="仿宋"/>
          <w:color w:val="auto"/>
          <w:sz w:val="24"/>
          <w:szCs w:val="24"/>
          <w:lang w:val="zh-CN"/>
        </w:rPr>
        <w:t>B、</w:t>
      </w:r>
      <w:r>
        <w:rPr>
          <w:rFonts w:hint="eastAsia" w:ascii="仿宋" w:hAnsi="仿宋" w:eastAsia="仿宋" w:cs="仿宋"/>
          <w:color w:val="auto"/>
          <w:sz w:val="24"/>
          <w:szCs w:val="24"/>
          <w:u w:val="single"/>
          <w:lang w:val="zh-CN"/>
        </w:rPr>
        <w:t>受托人不得擅自修改双方签字确认的《招标文件》。如因受托人的擅自修改行为，致使委托人的招标项目流标、废标或开标日期延后或造成其他损失的，委托人有权单方解除双方签订的招标代理合同及相关合同附件，并要求受托人承担相应违约责任。</w:t>
      </w:r>
    </w:p>
    <w:p w14:paraId="47CE5ACE">
      <w:pPr>
        <w:adjustRightInd w:val="0"/>
        <w:spacing w:line="440" w:lineRule="exact"/>
        <w:ind w:firstLine="420" w:firstLineChars="200"/>
        <w:rPr>
          <w:rFonts w:hint="eastAsia"/>
          <w:color w:val="auto"/>
          <w:lang w:val="zh-CN"/>
        </w:rPr>
      </w:pPr>
      <w:r>
        <w:rPr>
          <w:rFonts w:hint="eastAsia" w:ascii="仿宋" w:hAnsi="仿宋" w:eastAsia="仿宋" w:cs="仿宋"/>
          <w:color w:val="auto"/>
          <w:sz w:val="21"/>
          <w:szCs w:val="21"/>
          <w:lang w:val="en-US" w:eastAsia="zh-CN"/>
        </w:rPr>
        <w:t>C、在本合同履行期间，若受托人或受托人工作人员出现重大违法违规情形，影响本合同约定的履约责任，则委托人有权单方解除本合同并要求受托人承担赔偿责任。（参照去年合同）</w:t>
      </w:r>
    </w:p>
    <w:p w14:paraId="236E01BA">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val="zh-CN"/>
        </w:rPr>
        <w:t>、争议</w:t>
      </w:r>
    </w:p>
    <w:p w14:paraId="6EA18775">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val="zh-CN"/>
        </w:rPr>
        <w:t>.1 双方约定，凡因执行本合同所发生的与本合同有关的一切争议，当和解或调解不成时，选择下列第（2）种方式解决：</w:t>
      </w:r>
    </w:p>
    <w:p w14:paraId="20CE7A5A">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（1）将争议提交委托人所在地仲裁委员会仲裁；</w:t>
      </w:r>
    </w:p>
    <w:p w14:paraId="423D9BBD">
      <w:pPr>
        <w:adjustRightInd w:val="0"/>
        <w:spacing w:line="440" w:lineRule="exact"/>
        <w:ind w:firstLine="480" w:firstLineChars="200"/>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（2）依法向委托人所在地人民法院提起诉讼。</w:t>
      </w:r>
    </w:p>
    <w:p w14:paraId="63A4AE1E">
      <w:pPr>
        <w:adjustRightInd w:val="0"/>
        <w:spacing w:line="440" w:lineRule="exact"/>
        <w:ind w:firstLine="480" w:firstLineChars="20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zh-CN" w:eastAsia="zh-CN"/>
        </w:rPr>
        <w:t>11、其他条款</w:t>
      </w:r>
    </w:p>
    <w:p w14:paraId="330EC021">
      <w:pPr>
        <w:adjustRightInd w:val="0"/>
        <w:spacing w:line="440" w:lineRule="exact"/>
        <w:ind w:firstLine="480" w:firstLineChars="200"/>
        <w:rPr>
          <w:rFonts w:hint="eastAsia" w:ascii="仿宋" w:hAnsi="仿宋" w:eastAsia="仿宋" w:cs="仿宋"/>
          <w:color w:val="auto"/>
          <w:sz w:val="24"/>
          <w:lang w:val="zh-CN" w:eastAsia="zh-CN"/>
        </w:rPr>
      </w:pPr>
      <w:r>
        <w:rPr>
          <w:rFonts w:hint="eastAsia" w:ascii="仿宋" w:hAnsi="仿宋" w:eastAsia="仿宋" w:cs="仿宋"/>
          <w:color w:val="auto"/>
          <w:sz w:val="24"/>
          <w:szCs w:val="24"/>
          <w:lang w:val="zh-CN" w:eastAsia="zh-CN"/>
        </w:rPr>
        <w:t>在合同实施过程中，合同双方一切联系均以书面通知为准，特殊情况可先口头通知并立即补书面通知。双方共同签署的有关文件，属于合同的补充文件，与本合同一同加盖骑缝章方视为有效。</w:t>
      </w:r>
    </w:p>
    <w:p w14:paraId="3AE54E06">
      <w:pPr>
        <w:adjustRightInd w:val="0"/>
        <w:spacing w:line="440" w:lineRule="exact"/>
        <w:ind w:firstLine="560" w:firstLineChars="200"/>
        <w:rPr>
          <w:rFonts w:hint="eastAsia" w:ascii="宋体" w:hAnsi="宋体" w:eastAsia="宋体" w:cs="Times New Roman"/>
          <w:color w:val="auto"/>
          <w:sz w:val="28"/>
          <w:szCs w:val="28"/>
          <w:lang w:val="zh-CN"/>
        </w:rPr>
      </w:pPr>
    </w:p>
    <w:p w14:paraId="2CA6919F">
      <w:pPr>
        <w:rPr>
          <w:color w:val="auto"/>
        </w:rPr>
      </w:pPr>
    </w:p>
    <w:p w14:paraId="739E20FD">
      <w:pPr>
        <w:numPr>
          <w:ins w:id="0" w:author="瑾然" w:date="2025-03-27T13:45:00Z"/>
        </w:numPr>
        <w:rPr>
          <w:color w:val="auto"/>
          <w:highlight w:val="none"/>
        </w:rPr>
      </w:pPr>
      <w:r>
        <w:rPr>
          <w:rFonts w:ascii="仿宋" w:hAnsi="仿宋" w:eastAsia="仿宋" w:cs="仿宋"/>
          <w:color w:val="auto"/>
          <w:highlight w:val="none"/>
        </w:rPr>
        <w:br w:type="page"/>
      </w:r>
    </w:p>
    <w:p w14:paraId="2D72D560">
      <w:pPr>
        <w:spacing w:line="600" w:lineRule="exact"/>
        <w:jc w:val="left"/>
        <w:rPr>
          <w:rFonts w:ascii="仿宋" w:hAnsi="仿宋" w:eastAsia="仿宋" w:cs="仿宋"/>
          <w:color w:val="auto"/>
          <w:highlight w:val="none"/>
        </w:rPr>
      </w:pPr>
    </w:p>
    <w:p w14:paraId="68FAFE11">
      <w:pPr>
        <w:spacing w:line="1100" w:lineRule="exact"/>
        <w:jc w:val="center"/>
        <w:rPr>
          <w:rFonts w:ascii="仿宋" w:hAnsi="仿宋" w:eastAsia="仿宋" w:cs="仿宋"/>
          <w:b/>
          <w:bCs/>
          <w:color w:val="auto"/>
          <w:kern w:val="0"/>
          <w:sz w:val="44"/>
          <w:highlight w:val="none"/>
        </w:rPr>
      </w:pPr>
      <w:bookmarkStart w:id="103" w:name="_Toc12161"/>
    </w:p>
    <w:p w14:paraId="06942BB8">
      <w:pPr>
        <w:spacing w:line="1100" w:lineRule="exact"/>
        <w:jc w:val="center"/>
        <w:outlineLvl w:val="0"/>
        <w:rPr>
          <w:rFonts w:ascii="仿宋" w:hAnsi="仿宋" w:eastAsia="仿宋" w:cs="仿宋"/>
          <w:b/>
          <w:bCs/>
          <w:color w:val="auto"/>
          <w:kern w:val="0"/>
          <w:sz w:val="44"/>
          <w:highlight w:val="none"/>
        </w:rPr>
      </w:pPr>
      <w:r>
        <w:rPr>
          <w:rFonts w:hint="eastAsia" w:ascii="仿宋" w:hAnsi="仿宋" w:eastAsia="仿宋" w:cs="仿宋"/>
          <w:b/>
          <w:bCs/>
          <w:color w:val="auto"/>
          <w:kern w:val="0"/>
          <w:sz w:val="44"/>
          <w:highlight w:val="none"/>
        </w:rPr>
        <w:t xml:space="preserve">第四章 </w:t>
      </w:r>
      <w:r>
        <w:rPr>
          <w:rFonts w:hint="eastAsia" w:ascii="仿宋" w:hAnsi="仿宋" w:eastAsia="仿宋" w:cs="仿宋"/>
          <w:b/>
          <w:bCs/>
          <w:color w:val="auto"/>
          <w:kern w:val="0"/>
          <w:sz w:val="44"/>
          <w:highlight w:val="none"/>
          <w:lang w:val="en-US" w:eastAsia="zh-CN"/>
        </w:rPr>
        <w:t xml:space="preserve">  </w:t>
      </w:r>
      <w:r>
        <w:rPr>
          <w:rFonts w:hint="eastAsia" w:ascii="仿宋" w:hAnsi="仿宋" w:eastAsia="仿宋" w:cs="仿宋"/>
          <w:b/>
          <w:bCs/>
          <w:color w:val="auto"/>
          <w:kern w:val="0"/>
          <w:sz w:val="44"/>
          <w:highlight w:val="none"/>
        </w:rPr>
        <w:t>响应文件格式</w:t>
      </w:r>
      <w:bookmarkEnd w:id="103"/>
    </w:p>
    <w:p w14:paraId="1A641307">
      <w:pPr>
        <w:rPr>
          <w:rFonts w:ascii="仿宋" w:hAnsi="仿宋" w:eastAsia="仿宋" w:cs="仿宋"/>
          <w:b/>
          <w:color w:val="auto"/>
          <w:sz w:val="56"/>
          <w:szCs w:val="56"/>
          <w:highlight w:val="none"/>
        </w:rPr>
      </w:pPr>
      <w:r>
        <w:rPr>
          <w:rFonts w:hint="eastAsia" w:ascii="仿宋" w:hAnsi="仿宋" w:eastAsia="仿宋" w:cs="仿宋"/>
          <w:b/>
          <w:color w:val="auto"/>
          <w:sz w:val="56"/>
          <w:szCs w:val="56"/>
          <w:highlight w:val="none"/>
        </w:rPr>
        <w:br w:type="page"/>
      </w:r>
    </w:p>
    <w:p w14:paraId="1D1E02AE">
      <w:pPr>
        <w:spacing w:beforeLines="50" w:afterLines="50" w:line="360" w:lineRule="auto"/>
        <w:jc w:val="center"/>
        <w:outlineLvl w:val="0"/>
        <w:rPr>
          <w:rFonts w:hint="eastAsia" w:ascii="仿宋" w:hAnsi="仿宋" w:eastAsia="仿宋" w:cs="仿宋"/>
          <w:b/>
          <w:bCs w:val="0"/>
          <w:color w:val="auto"/>
          <w:kern w:val="0"/>
          <w:sz w:val="44"/>
          <w:szCs w:val="44"/>
          <w:highlight w:val="none"/>
        </w:rPr>
      </w:pPr>
      <w:r>
        <w:rPr>
          <w:rFonts w:hint="eastAsia" w:ascii="仿宋" w:hAnsi="仿宋" w:eastAsia="仿宋" w:cs="仿宋"/>
          <w:b/>
          <w:bCs w:val="0"/>
          <w:color w:val="auto"/>
          <w:kern w:val="0"/>
          <w:sz w:val="44"/>
          <w:szCs w:val="44"/>
          <w:highlight w:val="none"/>
        </w:rPr>
        <w:t>云南省昆明市官渡区人民政府长水街道办事处202</w:t>
      </w:r>
      <w:r>
        <w:rPr>
          <w:rFonts w:hint="eastAsia" w:ascii="仿宋" w:hAnsi="仿宋" w:eastAsia="仿宋" w:cs="仿宋"/>
          <w:b/>
          <w:bCs w:val="0"/>
          <w:color w:val="auto"/>
          <w:kern w:val="0"/>
          <w:sz w:val="44"/>
          <w:szCs w:val="44"/>
          <w:highlight w:val="none"/>
          <w:lang w:val="en-US" w:eastAsia="zh-CN"/>
        </w:rPr>
        <w:t>5</w:t>
      </w:r>
      <w:r>
        <w:rPr>
          <w:rFonts w:hint="eastAsia" w:ascii="仿宋" w:hAnsi="仿宋" w:eastAsia="仿宋" w:cs="仿宋"/>
          <w:b/>
          <w:bCs w:val="0"/>
          <w:color w:val="auto"/>
          <w:kern w:val="0"/>
          <w:sz w:val="44"/>
          <w:szCs w:val="44"/>
          <w:highlight w:val="none"/>
        </w:rPr>
        <w:t>-202</w:t>
      </w:r>
      <w:r>
        <w:rPr>
          <w:rFonts w:hint="eastAsia" w:ascii="仿宋" w:hAnsi="仿宋" w:eastAsia="仿宋" w:cs="仿宋"/>
          <w:b/>
          <w:bCs w:val="0"/>
          <w:color w:val="auto"/>
          <w:kern w:val="0"/>
          <w:sz w:val="44"/>
          <w:szCs w:val="44"/>
          <w:highlight w:val="none"/>
          <w:lang w:val="en-US" w:eastAsia="zh-CN"/>
        </w:rPr>
        <w:t>6</w:t>
      </w:r>
      <w:r>
        <w:rPr>
          <w:rFonts w:hint="eastAsia" w:ascii="仿宋" w:hAnsi="仿宋" w:eastAsia="仿宋" w:cs="仿宋"/>
          <w:b/>
          <w:bCs w:val="0"/>
          <w:color w:val="auto"/>
          <w:kern w:val="0"/>
          <w:sz w:val="44"/>
          <w:szCs w:val="44"/>
          <w:highlight w:val="none"/>
        </w:rPr>
        <w:t>年度招标代理</w:t>
      </w:r>
      <w:r>
        <w:rPr>
          <w:rFonts w:hint="eastAsia" w:ascii="仿宋" w:hAnsi="仿宋" w:eastAsia="仿宋" w:cs="仿宋"/>
          <w:b/>
          <w:bCs w:val="0"/>
          <w:color w:val="auto"/>
          <w:kern w:val="0"/>
          <w:sz w:val="44"/>
          <w:szCs w:val="44"/>
          <w:highlight w:val="none"/>
          <w:lang w:val="en-US" w:eastAsia="zh-CN"/>
        </w:rPr>
        <w:t>服务单位采购</w:t>
      </w:r>
    </w:p>
    <w:p w14:paraId="11B57794">
      <w:pPr>
        <w:spacing w:line="360" w:lineRule="auto"/>
        <w:jc w:val="center"/>
        <w:rPr>
          <w:rFonts w:ascii="仿宋" w:hAnsi="仿宋" w:eastAsia="仿宋" w:cs="仿宋"/>
          <w:color w:val="auto"/>
          <w:sz w:val="24"/>
          <w:highlight w:val="none"/>
        </w:rPr>
      </w:pPr>
    </w:p>
    <w:p w14:paraId="0604CE0E">
      <w:pPr>
        <w:pStyle w:val="8"/>
        <w:spacing w:before="156"/>
        <w:ind w:firstLine="480"/>
        <w:rPr>
          <w:rFonts w:ascii="仿宋" w:hAnsi="仿宋" w:eastAsia="仿宋" w:cs="仿宋"/>
          <w:color w:val="auto"/>
          <w:sz w:val="24"/>
          <w:highlight w:val="none"/>
        </w:rPr>
      </w:pPr>
    </w:p>
    <w:p w14:paraId="7835874F">
      <w:pPr>
        <w:pStyle w:val="8"/>
        <w:spacing w:before="156"/>
        <w:ind w:firstLine="480"/>
        <w:rPr>
          <w:rFonts w:ascii="仿宋" w:hAnsi="仿宋" w:eastAsia="仿宋" w:cs="仿宋"/>
          <w:color w:val="auto"/>
          <w:sz w:val="24"/>
          <w:highlight w:val="none"/>
        </w:rPr>
      </w:pPr>
    </w:p>
    <w:p w14:paraId="6CBFD8EE">
      <w:pPr>
        <w:pStyle w:val="8"/>
        <w:spacing w:before="156"/>
        <w:ind w:firstLine="480"/>
        <w:rPr>
          <w:rFonts w:ascii="仿宋" w:hAnsi="仿宋" w:eastAsia="仿宋" w:cs="仿宋"/>
          <w:color w:val="auto"/>
          <w:sz w:val="24"/>
          <w:highlight w:val="none"/>
        </w:rPr>
      </w:pPr>
    </w:p>
    <w:p w14:paraId="2FEF10B8">
      <w:pPr>
        <w:spacing w:line="360" w:lineRule="auto"/>
        <w:jc w:val="center"/>
        <w:rPr>
          <w:rFonts w:ascii="仿宋" w:hAnsi="仿宋" w:eastAsia="仿宋" w:cs="仿宋"/>
          <w:color w:val="auto"/>
          <w:sz w:val="24"/>
          <w:highlight w:val="none"/>
        </w:rPr>
      </w:pPr>
    </w:p>
    <w:p w14:paraId="7569B33A">
      <w:pPr>
        <w:spacing w:line="360" w:lineRule="auto"/>
        <w:jc w:val="center"/>
        <w:rPr>
          <w:rFonts w:ascii="仿宋" w:hAnsi="仿宋" w:eastAsia="仿宋" w:cs="仿宋"/>
          <w:color w:val="auto"/>
          <w:sz w:val="24"/>
          <w:highlight w:val="none"/>
        </w:rPr>
      </w:pPr>
    </w:p>
    <w:p w14:paraId="1944BF08">
      <w:pPr>
        <w:spacing w:line="360" w:lineRule="auto"/>
        <w:jc w:val="center"/>
        <w:rPr>
          <w:rFonts w:ascii="仿宋" w:hAnsi="仿宋" w:eastAsia="仿宋" w:cs="仿宋"/>
          <w:color w:val="auto"/>
          <w:sz w:val="24"/>
          <w:highlight w:val="none"/>
        </w:rPr>
      </w:pPr>
    </w:p>
    <w:p w14:paraId="6C6A18D3">
      <w:pPr>
        <w:pStyle w:val="15"/>
        <w:spacing w:line="360" w:lineRule="auto"/>
        <w:jc w:val="center"/>
        <w:rPr>
          <w:rFonts w:ascii="仿宋" w:hAnsi="仿宋" w:eastAsia="仿宋" w:cs="仿宋"/>
          <w:b/>
          <w:color w:val="auto"/>
          <w:sz w:val="84"/>
          <w:szCs w:val="84"/>
          <w:highlight w:val="none"/>
        </w:rPr>
      </w:pPr>
      <w:r>
        <w:rPr>
          <w:rFonts w:hint="eastAsia" w:ascii="仿宋" w:hAnsi="仿宋" w:eastAsia="仿宋" w:cs="仿宋"/>
          <w:b/>
          <w:color w:val="auto"/>
          <w:sz w:val="84"/>
          <w:szCs w:val="84"/>
          <w:highlight w:val="none"/>
        </w:rPr>
        <w:t>响应文件</w:t>
      </w:r>
    </w:p>
    <w:p w14:paraId="4D21A447">
      <w:pPr>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val="en-US" w:eastAsia="zh-CN"/>
        </w:rPr>
        <w:t xml:space="preserve"> </w:t>
      </w:r>
    </w:p>
    <w:p w14:paraId="0C575D2F">
      <w:pPr>
        <w:spacing w:line="360" w:lineRule="auto"/>
        <w:jc w:val="center"/>
        <w:rPr>
          <w:rFonts w:hint="eastAsia" w:ascii="仿宋" w:hAnsi="仿宋" w:eastAsia="仿宋" w:cs="仿宋"/>
          <w:color w:val="auto"/>
          <w:sz w:val="24"/>
          <w:highlight w:val="none"/>
          <w:lang w:eastAsia="zh-CN"/>
        </w:rPr>
      </w:pPr>
    </w:p>
    <w:p w14:paraId="0DD34C99">
      <w:pPr>
        <w:spacing w:line="360" w:lineRule="auto"/>
        <w:rPr>
          <w:rFonts w:ascii="仿宋" w:hAnsi="仿宋" w:eastAsia="仿宋" w:cs="仿宋"/>
          <w:color w:val="auto"/>
          <w:sz w:val="24"/>
          <w:highlight w:val="none"/>
        </w:rPr>
      </w:pPr>
    </w:p>
    <w:p w14:paraId="07905365">
      <w:pPr>
        <w:spacing w:line="360" w:lineRule="auto"/>
        <w:rPr>
          <w:rFonts w:ascii="仿宋" w:hAnsi="仿宋" w:eastAsia="仿宋" w:cs="仿宋"/>
          <w:color w:val="auto"/>
          <w:sz w:val="24"/>
          <w:highlight w:val="none"/>
        </w:rPr>
      </w:pPr>
    </w:p>
    <w:p w14:paraId="2478EE2A">
      <w:pPr>
        <w:spacing w:line="900" w:lineRule="exact"/>
        <w:ind w:firstLine="2310" w:firstLineChars="82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供应商：（盖单位公章）</w:t>
      </w:r>
    </w:p>
    <w:p w14:paraId="3A0C2C96">
      <w:pPr>
        <w:spacing w:line="900" w:lineRule="exact"/>
        <w:ind w:firstLine="2310" w:firstLineChars="82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法定代表人或其委托代理人：（签字或盖章）</w:t>
      </w:r>
    </w:p>
    <w:p w14:paraId="11F39B68">
      <w:pPr>
        <w:spacing w:line="900" w:lineRule="exact"/>
        <w:ind w:firstLine="2730" w:firstLineChars="975"/>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年月日</w:t>
      </w:r>
    </w:p>
    <w:p w14:paraId="06040CB6">
      <w:pPr>
        <w:rPr>
          <w:rFonts w:ascii="仿宋" w:hAnsi="仿宋" w:eastAsia="仿宋" w:cs="仿宋"/>
          <w:color w:val="auto"/>
          <w:sz w:val="32"/>
          <w:highlight w:val="none"/>
        </w:rPr>
      </w:pPr>
      <w:r>
        <w:rPr>
          <w:rFonts w:hint="eastAsia" w:ascii="仿宋" w:hAnsi="仿宋" w:eastAsia="仿宋" w:cs="仿宋"/>
          <w:color w:val="auto"/>
          <w:sz w:val="24"/>
          <w:highlight w:val="none"/>
        </w:rPr>
        <w:br w:type="page"/>
      </w:r>
    </w:p>
    <w:p w14:paraId="448160BA">
      <w:pPr>
        <w:pStyle w:val="4"/>
        <w:spacing w:before="0"/>
        <w:ind w:left="425" w:firstLine="0"/>
        <w:rPr>
          <w:rFonts w:ascii="仿宋" w:hAnsi="仿宋" w:eastAsia="仿宋" w:cs="仿宋"/>
          <w:bCs w:val="0"/>
          <w:color w:val="auto"/>
          <w:sz w:val="32"/>
          <w:highlight w:val="none"/>
        </w:rPr>
      </w:pPr>
      <w:bookmarkStart w:id="104" w:name="_Toc23580"/>
      <w:r>
        <w:rPr>
          <w:rFonts w:hint="eastAsia" w:ascii="仿宋" w:hAnsi="仿宋" w:eastAsia="仿宋" w:cs="仿宋"/>
          <w:bCs w:val="0"/>
          <w:color w:val="auto"/>
          <w:sz w:val="32"/>
          <w:highlight w:val="none"/>
        </w:rPr>
        <w:t>（一）磋商报价一览表</w:t>
      </w:r>
      <w:bookmarkEnd w:id="104"/>
    </w:p>
    <w:p w14:paraId="2E9C0AF8">
      <w:pPr>
        <w:spacing w:line="360" w:lineRule="auto"/>
        <w:rPr>
          <w:rFonts w:hint="eastAsia" w:ascii="仿宋" w:hAnsi="仿宋" w:eastAsia="仿宋" w:cs="仿宋"/>
          <w:b/>
          <w:bCs/>
          <w:color w:val="auto"/>
          <w:szCs w:val="21"/>
          <w:highlight w:val="none"/>
          <w:lang w:eastAsia="zh-CN"/>
        </w:rPr>
      </w:pPr>
      <w:r>
        <w:rPr>
          <w:rFonts w:hint="eastAsia" w:ascii="仿宋" w:hAnsi="仿宋" w:eastAsia="仿宋" w:cs="仿宋"/>
          <w:b/>
          <w:bCs/>
          <w:color w:val="auto"/>
          <w:szCs w:val="21"/>
          <w:highlight w:val="none"/>
        </w:rPr>
        <w:t>项目名称：</w:t>
      </w:r>
      <w:r>
        <w:rPr>
          <w:rFonts w:hint="eastAsia" w:ascii="仿宋" w:hAnsi="仿宋" w:eastAsia="仿宋" w:cs="仿宋"/>
          <w:b/>
          <w:bCs/>
          <w:color w:val="auto"/>
          <w:szCs w:val="21"/>
          <w:highlight w:val="none"/>
          <w:lang w:val="en-US" w:eastAsia="zh-CN"/>
        </w:rPr>
        <w:t xml:space="preserve"> </w:t>
      </w:r>
    </w:p>
    <w:p w14:paraId="41826607">
      <w:pPr>
        <w:spacing w:line="360" w:lineRule="auto"/>
        <w:rPr>
          <w:rFonts w:hint="eastAsia" w:ascii="仿宋" w:hAnsi="仿宋" w:eastAsia="仿宋" w:cs="仿宋"/>
          <w:b/>
          <w:bCs/>
          <w:color w:val="auto"/>
          <w:szCs w:val="21"/>
          <w:highlight w:val="none"/>
          <w:u w:val="single"/>
          <w:lang w:eastAsia="zh-CN"/>
        </w:rPr>
      </w:pPr>
      <w:r>
        <w:rPr>
          <w:rFonts w:hint="eastAsia" w:ascii="仿宋" w:hAnsi="仿宋" w:eastAsia="仿宋" w:cs="仿宋"/>
          <w:b/>
          <w:bCs/>
          <w:color w:val="auto"/>
          <w:szCs w:val="21"/>
          <w:highlight w:val="none"/>
        </w:rPr>
        <w:t>项目编号：</w:t>
      </w:r>
      <w:r>
        <w:rPr>
          <w:rFonts w:hint="eastAsia" w:ascii="仿宋" w:hAnsi="仿宋" w:eastAsia="仿宋" w:cs="仿宋"/>
          <w:b/>
          <w:bCs/>
          <w:color w:val="auto"/>
          <w:szCs w:val="21"/>
          <w:highlight w:val="none"/>
          <w:lang w:val="en-US" w:eastAsia="zh-CN"/>
        </w:rPr>
        <w:t xml:space="preserve"> </w:t>
      </w:r>
    </w:p>
    <w:tbl>
      <w:tblPr>
        <w:tblStyle w:val="107"/>
        <w:tblW w:w="99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7"/>
        <w:gridCol w:w="1939"/>
        <w:gridCol w:w="4811"/>
        <w:gridCol w:w="2236"/>
      </w:tblGrid>
      <w:tr w14:paraId="074E2F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37" w:type="dxa"/>
            <w:vAlign w:val="top"/>
          </w:tcPr>
          <w:p w14:paraId="7C5CEC82">
            <w:pPr>
              <w:pStyle w:val="109"/>
              <w:spacing w:before="258" w:line="221" w:lineRule="auto"/>
              <w:ind w:left="171"/>
              <w:rPr>
                <w:rFonts w:hint="eastAsia" w:ascii="仿宋" w:hAnsi="仿宋" w:eastAsia="仿宋" w:cs="仿宋"/>
                <w:color w:val="auto"/>
                <w:sz w:val="22"/>
                <w:szCs w:val="22"/>
              </w:rPr>
            </w:pPr>
            <w:r>
              <w:rPr>
                <w:rFonts w:hint="eastAsia" w:ascii="仿宋" w:hAnsi="仿宋" w:eastAsia="仿宋" w:cs="仿宋"/>
                <w:b/>
                <w:bCs/>
                <w:color w:val="auto"/>
                <w:spacing w:val="-7"/>
                <w:sz w:val="22"/>
                <w:szCs w:val="22"/>
              </w:rPr>
              <w:t>序号</w:t>
            </w:r>
          </w:p>
        </w:tc>
        <w:tc>
          <w:tcPr>
            <w:tcW w:w="1939" w:type="dxa"/>
            <w:vAlign w:val="top"/>
          </w:tcPr>
          <w:p w14:paraId="1D6A5C5A">
            <w:pPr>
              <w:pStyle w:val="109"/>
              <w:spacing w:before="259" w:line="220" w:lineRule="auto"/>
              <w:ind w:left="737"/>
              <w:rPr>
                <w:rFonts w:hint="eastAsia" w:ascii="仿宋" w:hAnsi="仿宋" w:eastAsia="仿宋" w:cs="仿宋"/>
                <w:color w:val="auto"/>
                <w:sz w:val="22"/>
                <w:szCs w:val="22"/>
              </w:rPr>
            </w:pPr>
            <w:r>
              <w:rPr>
                <w:rFonts w:hint="eastAsia" w:ascii="仿宋" w:hAnsi="仿宋" w:eastAsia="仿宋" w:cs="仿宋"/>
                <w:b/>
                <w:bCs/>
                <w:color w:val="auto"/>
                <w:spacing w:val="-10"/>
                <w:sz w:val="22"/>
                <w:szCs w:val="22"/>
              </w:rPr>
              <w:t>项</w:t>
            </w:r>
            <w:r>
              <w:rPr>
                <w:rFonts w:hint="eastAsia" w:ascii="仿宋" w:hAnsi="仿宋" w:eastAsia="仿宋" w:cs="仿宋"/>
                <w:color w:val="auto"/>
                <w:spacing w:val="55"/>
                <w:sz w:val="22"/>
                <w:szCs w:val="22"/>
              </w:rPr>
              <w:t xml:space="preserve"> </w:t>
            </w:r>
            <w:r>
              <w:rPr>
                <w:rFonts w:hint="eastAsia" w:ascii="仿宋" w:hAnsi="仿宋" w:eastAsia="仿宋" w:cs="仿宋"/>
                <w:b/>
                <w:bCs/>
                <w:color w:val="auto"/>
                <w:spacing w:val="-10"/>
                <w:sz w:val="22"/>
                <w:szCs w:val="22"/>
              </w:rPr>
              <w:t>目</w:t>
            </w:r>
          </w:p>
        </w:tc>
        <w:tc>
          <w:tcPr>
            <w:tcW w:w="4811" w:type="dxa"/>
            <w:vAlign w:val="top"/>
          </w:tcPr>
          <w:p w14:paraId="3DA1B983">
            <w:pPr>
              <w:pStyle w:val="109"/>
              <w:spacing w:before="259" w:line="219" w:lineRule="auto"/>
              <w:ind w:left="1686"/>
              <w:rPr>
                <w:rFonts w:hint="eastAsia" w:ascii="仿宋" w:hAnsi="仿宋" w:eastAsia="仿宋" w:cs="仿宋"/>
                <w:color w:val="auto"/>
                <w:sz w:val="22"/>
                <w:szCs w:val="22"/>
              </w:rPr>
            </w:pPr>
            <w:r>
              <w:rPr>
                <w:rFonts w:hint="eastAsia" w:ascii="仿宋" w:hAnsi="仿宋" w:eastAsia="仿宋" w:cs="仿宋"/>
                <w:b/>
                <w:bCs/>
                <w:color w:val="auto"/>
                <w:spacing w:val="-22"/>
                <w:sz w:val="22"/>
                <w:szCs w:val="22"/>
              </w:rPr>
              <w:t>内容</w:t>
            </w:r>
          </w:p>
        </w:tc>
        <w:tc>
          <w:tcPr>
            <w:tcW w:w="2236" w:type="dxa"/>
            <w:vAlign w:val="top"/>
          </w:tcPr>
          <w:p w14:paraId="3ACFA015">
            <w:pPr>
              <w:pStyle w:val="109"/>
              <w:spacing w:before="181" w:line="221" w:lineRule="auto"/>
              <w:ind w:firstLine="609" w:firstLineChars="300"/>
              <w:rPr>
                <w:rFonts w:hint="eastAsia" w:ascii="仿宋" w:hAnsi="仿宋" w:eastAsia="仿宋" w:cs="仿宋"/>
                <w:color w:val="auto"/>
                <w:sz w:val="22"/>
                <w:szCs w:val="22"/>
              </w:rPr>
            </w:pPr>
            <w:r>
              <w:rPr>
                <w:rFonts w:hint="eastAsia" w:ascii="仿宋" w:hAnsi="仿宋" w:eastAsia="仿宋" w:cs="仿宋"/>
                <w:b/>
                <w:bCs/>
                <w:color w:val="auto"/>
                <w:spacing w:val="-9"/>
                <w:sz w:val="22"/>
                <w:szCs w:val="22"/>
              </w:rPr>
              <w:t>备</w:t>
            </w:r>
            <w:r>
              <w:rPr>
                <w:rFonts w:hint="eastAsia" w:ascii="仿宋" w:hAnsi="仿宋" w:eastAsia="仿宋" w:cs="仿宋"/>
                <w:color w:val="auto"/>
                <w:spacing w:val="9"/>
                <w:sz w:val="22"/>
                <w:szCs w:val="22"/>
                <w:lang w:val="en-US" w:eastAsia="zh-CN"/>
              </w:rPr>
              <w:t xml:space="preserve">   </w:t>
            </w:r>
            <w:r>
              <w:rPr>
                <w:rFonts w:hint="eastAsia" w:ascii="仿宋" w:hAnsi="仿宋" w:eastAsia="仿宋" w:cs="仿宋"/>
                <w:b/>
                <w:bCs/>
                <w:color w:val="auto"/>
                <w:spacing w:val="-9"/>
                <w:sz w:val="22"/>
                <w:szCs w:val="22"/>
              </w:rPr>
              <w:t>注</w:t>
            </w:r>
          </w:p>
        </w:tc>
      </w:tr>
      <w:tr w14:paraId="4845D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9" w:hRule="atLeast"/>
        </w:trPr>
        <w:tc>
          <w:tcPr>
            <w:tcW w:w="937" w:type="dxa"/>
            <w:vAlign w:val="top"/>
          </w:tcPr>
          <w:p w14:paraId="42EE8BE1">
            <w:pPr>
              <w:spacing w:line="266" w:lineRule="auto"/>
              <w:rPr>
                <w:rFonts w:hint="eastAsia" w:ascii="仿宋" w:hAnsi="仿宋" w:eastAsia="仿宋" w:cs="仿宋"/>
                <w:color w:val="auto"/>
                <w:sz w:val="20"/>
                <w:szCs w:val="22"/>
              </w:rPr>
            </w:pPr>
          </w:p>
          <w:p w14:paraId="48985155">
            <w:pPr>
              <w:pStyle w:val="109"/>
              <w:spacing w:before="78" w:line="184" w:lineRule="auto"/>
              <w:ind w:left="310"/>
              <w:rPr>
                <w:rFonts w:hint="eastAsia" w:ascii="仿宋" w:hAnsi="仿宋" w:eastAsia="仿宋" w:cs="仿宋"/>
                <w:b/>
                <w:bCs/>
                <w:color w:val="auto"/>
                <w:spacing w:val="-3"/>
                <w:sz w:val="22"/>
                <w:szCs w:val="22"/>
              </w:rPr>
            </w:pPr>
          </w:p>
          <w:p w14:paraId="6C12B40B">
            <w:pPr>
              <w:pStyle w:val="109"/>
              <w:spacing w:before="78" w:line="184" w:lineRule="auto"/>
              <w:ind w:left="310"/>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1</w:t>
            </w:r>
          </w:p>
        </w:tc>
        <w:tc>
          <w:tcPr>
            <w:tcW w:w="1939" w:type="dxa"/>
            <w:vAlign w:val="top"/>
          </w:tcPr>
          <w:p w14:paraId="11308421">
            <w:pPr>
              <w:spacing w:line="264" w:lineRule="auto"/>
              <w:rPr>
                <w:rFonts w:hint="eastAsia" w:ascii="仿宋" w:hAnsi="仿宋" w:eastAsia="仿宋" w:cs="仿宋"/>
                <w:color w:val="auto"/>
                <w:sz w:val="20"/>
                <w:szCs w:val="22"/>
              </w:rPr>
            </w:pPr>
          </w:p>
          <w:p w14:paraId="11D23060">
            <w:pPr>
              <w:spacing w:line="264" w:lineRule="auto"/>
              <w:rPr>
                <w:rFonts w:hint="eastAsia" w:ascii="仿宋" w:hAnsi="仿宋" w:eastAsia="仿宋" w:cs="仿宋"/>
                <w:color w:val="auto"/>
                <w:sz w:val="20"/>
                <w:szCs w:val="22"/>
              </w:rPr>
            </w:pPr>
          </w:p>
          <w:p w14:paraId="48E41B27">
            <w:pPr>
              <w:pStyle w:val="109"/>
              <w:spacing w:before="78" w:line="357" w:lineRule="auto"/>
              <w:ind w:right="326"/>
              <w:rPr>
                <w:rFonts w:hint="eastAsia" w:ascii="仿宋" w:hAnsi="仿宋" w:eastAsia="仿宋" w:cs="仿宋"/>
                <w:color w:val="auto"/>
                <w:sz w:val="22"/>
                <w:szCs w:val="22"/>
              </w:rPr>
            </w:pPr>
            <w:r>
              <w:rPr>
                <w:rFonts w:hint="eastAsia" w:ascii="仿宋" w:hAnsi="仿宋" w:eastAsia="仿宋" w:cs="仿宋"/>
                <w:b/>
                <w:bCs/>
                <w:color w:val="auto"/>
                <w:spacing w:val="-5"/>
                <w:sz w:val="22"/>
                <w:szCs w:val="22"/>
              </w:rPr>
              <w:t>磋商报价</w:t>
            </w:r>
            <w:r>
              <w:rPr>
                <w:rFonts w:hint="eastAsia" w:ascii="仿宋" w:hAnsi="仿宋" w:eastAsia="仿宋" w:cs="仿宋"/>
                <w:b/>
                <w:bCs/>
                <w:color w:val="auto"/>
                <w:spacing w:val="-8"/>
                <w:sz w:val="22"/>
                <w:szCs w:val="22"/>
              </w:rPr>
              <w:t>（下浮</w:t>
            </w:r>
            <w:r>
              <w:rPr>
                <w:rFonts w:hint="eastAsia" w:ascii="仿宋" w:hAnsi="仿宋" w:eastAsia="仿宋" w:cs="仿宋"/>
                <w:b/>
                <w:bCs/>
                <w:color w:val="auto"/>
                <w:spacing w:val="-8"/>
                <w:sz w:val="22"/>
                <w:szCs w:val="22"/>
                <w:lang w:val="en-US" w:eastAsia="zh-CN"/>
              </w:rPr>
              <w:t>%</w:t>
            </w:r>
            <w:r>
              <w:rPr>
                <w:rFonts w:hint="eastAsia" w:ascii="仿宋" w:hAnsi="仿宋" w:eastAsia="仿宋" w:cs="仿宋"/>
                <w:b/>
                <w:bCs/>
                <w:color w:val="auto"/>
                <w:spacing w:val="-8"/>
                <w:sz w:val="22"/>
                <w:szCs w:val="22"/>
              </w:rPr>
              <w:t>）</w:t>
            </w:r>
          </w:p>
        </w:tc>
        <w:tc>
          <w:tcPr>
            <w:tcW w:w="4811" w:type="dxa"/>
            <w:vAlign w:val="top"/>
          </w:tcPr>
          <w:p w14:paraId="350259D1">
            <w:pPr>
              <w:spacing w:line="260" w:lineRule="auto"/>
              <w:rPr>
                <w:rFonts w:hint="eastAsia" w:ascii="仿宋" w:hAnsi="仿宋" w:eastAsia="仿宋" w:cs="仿宋"/>
                <w:color w:val="auto"/>
                <w:sz w:val="20"/>
                <w:szCs w:val="22"/>
              </w:rPr>
            </w:pPr>
          </w:p>
          <w:p w14:paraId="28978C6C">
            <w:pPr>
              <w:spacing w:line="260" w:lineRule="auto"/>
              <w:rPr>
                <w:rFonts w:hint="eastAsia" w:ascii="仿宋" w:hAnsi="仿宋" w:eastAsia="仿宋" w:cs="仿宋"/>
                <w:color w:val="auto"/>
                <w:sz w:val="20"/>
                <w:szCs w:val="22"/>
              </w:rPr>
            </w:pPr>
          </w:p>
          <w:p w14:paraId="449DE0E3">
            <w:pPr>
              <w:pStyle w:val="109"/>
              <w:spacing w:before="78" w:line="221" w:lineRule="auto"/>
              <w:ind w:left="1367"/>
              <w:rPr>
                <w:rFonts w:hint="eastAsia" w:ascii="仿宋" w:hAnsi="仿宋" w:eastAsia="仿宋" w:cs="仿宋"/>
                <w:color w:val="auto"/>
                <w:sz w:val="22"/>
                <w:szCs w:val="22"/>
              </w:rPr>
            </w:pPr>
            <w:r>
              <w:rPr>
                <w:rFonts w:hint="eastAsia" w:ascii="仿宋" w:hAnsi="仿宋" w:eastAsia="仿宋" w:cs="仿宋"/>
                <w:b/>
                <w:bCs/>
                <w:color w:val="auto"/>
                <w:spacing w:val="-9"/>
                <w:sz w:val="22"/>
                <w:szCs w:val="22"/>
              </w:rPr>
              <w:t>下浮</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b/>
                <w:bCs/>
                <w:color w:val="auto"/>
                <w:spacing w:val="-9"/>
                <w:sz w:val="22"/>
                <w:szCs w:val="22"/>
              </w:rPr>
              <w:t>%</w:t>
            </w:r>
          </w:p>
        </w:tc>
        <w:tc>
          <w:tcPr>
            <w:tcW w:w="2236" w:type="dxa"/>
            <w:vAlign w:val="top"/>
          </w:tcPr>
          <w:p w14:paraId="0B039F3C">
            <w:pPr>
              <w:pStyle w:val="109"/>
              <w:spacing w:before="27" w:line="237" w:lineRule="auto"/>
              <w:ind w:left="113" w:right="107" w:firstLine="1"/>
              <w:jc w:val="both"/>
              <w:rPr>
                <w:rFonts w:hint="eastAsia" w:ascii="仿宋" w:hAnsi="仿宋" w:eastAsia="仿宋" w:cs="仿宋"/>
                <w:color w:val="auto"/>
                <w:sz w:val="21"/>
                <w:szCs w:val="21"/>
              </w:rPr>
            </w:pPr>
          </w:p>
        </w:tc>
      </w:tr>
      <w:tr w14:paraId="439FD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37" w:type="dxa"/>
            <w:vAlign w:val="top"/>
          </w:tcPr>
          <w:p w14:paraId="12BDFB0C">
            <w:pPr>
              <w:pStyle w:val="109"/>
              <w:spacing w:before="78" w:line="183" w:lineRule="auto"/>
              <w:ind w:left="295"/>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2</w:t>
            </w:r>
          </w:p>
        </w:tc>
        <w:tc>
          <w:tcPr>
            <w:tcW w:w="1939" w:type="dxa"/>
            <w:vAlign w:val="top"/>
          </w:tcPr>
          <w:p w14:paraId="2317B736">
            <w:pPr>
              <w:pStyle w:val="109"/>
              <w:spacing w:before="78" w:line="219" w:lineRule="auto"/>
              <w:ind w:left="554"/>
              <w:rPr>
                <w:rFonts w:hint="eastAsia" w:ascii="仿宋" w:hAnsi="仿宋" w:eastAsia="仿宋" w:cs="仿宋"/>
                <w:color w:val="auto"/>
                <w:sz w:val="22"/>
                <w:szCs w:val="22"/>
              </w:rPr>
            </w:pPr>
            <w:r>
              <w:rPr>
                <w:rFonts w:hint="eastAsia" w:ascii="仿宋" w:hAnsi="仿宋" w:eastAsia="仿宋" w:cs="仿宋"/>
                <w:b/>
                <w:bCs/>
                <w:color w:val="auto"/>
                <w:spacing w:val="-5"/>
                <w:sz w:val="22"/>
                <w:szCs w:val="22"/>
              </w:rPr>
              <w:t>服务期限</w:t>
            </w:r>
          </w:p>
        </w:tc>
        <w:tc>
          <w:tcPr>
            <w:tcW w:w="4811" w:type="dxa"/>
            <w:vAlign w:val="top"/>
          </w:tcPr>
          <w:p w14:paraId="5F7B9A99">
            <w:pPr>
              <w:rPr>
                <w:rFonts w:hint="eastAsia" w:ascii="仿宋" w:hAnsi="仿宋" w:eastAsia="仿宋" w:cs="仿宋"/>
                <w:color w:val="auto"/>
                <w:sz w:val="20"/>
                <w:szCs w:val="22"/>
              </w:rPr>
            </w:pPr>
          </w:p>
        </w:tc>
        <w:tc>
          <w:tcPr>
            <w:tcW w:w="2236" w:type="dxa"/>
            <w:vAlign w:val="top"/>
          </w:tcPr>
          <w:p w14:paraId="23938DD5">
            <w:pPr>
              <w:rPr>
                <w:rFonts w:hint="eastAsia" w:ascii="仿宋" w:hAnsi="仿宋" w:eastAsia="仿宋" w:cs="仿宋"/>
                <w:color w:val="auto"/>
                <w:sz w:val="20"/>
                <w:szCs w:val="22"/>
              </w:rPr>
            </w:pPr>
          </w:p>
        </w:tc>
      </w:tr>
      <w:tr w14:paraId="5DFCB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937" w:type="dxa"/>
            <w:vAlign w:val="top"/>
          </w:tcPr>
          <w:p w14:paraId="163B3EA1">
            <w:pPr>
              <w:spacing w:line="314" w:lineRule="auto"/>
              <w:rPr>
                <w:rFonts w:hint="eastAsia" w:ascii="仿宋" w:hAnsi="仿宋" w:eastAsia="仿宋" w:cs="仿宋"/>
                <w:color w:val="auto"/>
                <w:sz w:val="20"/>
                <w:szCs w:val="22"/>
              </w:rPr>
            </w:pPr>
          </w:p>
          <w:p w14:paraId="04B9D441">
            <w:pPr>
              <w:pStyle w:val="109"/>
              <w:spacing w:before="78" w:line="183" w:lineRule="auto"/>
              <w:ind w:left="297"/>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3</w:t>
            </w:r>
          </w:p>
        </w:tc>
        <w:tc>
          <w:tcPr>
            <w:tcW w:w="1939" w:type="dxa"/>
            <w:vAlign w:val="top"/>
          </w:tcPr>
          <w:p w14:paraId="193BE73F">
            <w:pPr>
              <w:spacing w:line="276" w:lineRule="auto"/>
              <w:rPr>
                <w:rFonts w:hint="eastAsia" w:ascii="仿宋" w:hAnsi="仿宋" w:eastAsia="仿宋" w:cs="仿宋"/>
                <w:color w:val="auto"/>
                <w:sz w:val="20"/>
                <w:szCs w:val="22"/>
              </w:rPr>
            </w:pPr>
          </w:p>
          <w:p w14:paraId="064BA7D4">
            <w:pPr>
              <w:pStyle w:val="109"/>
              <w:spacing w:before="78" w:line="219" w:lineRule="auto"/>
              <w:ind w:left="554"/>
              <w:rPr>
                <w:rFonts w:hint="eastAsia" w:ascii="仿宋" w:hAnsi="仿宋" w:eastAsia="仿宋" w:cs="仿宋"/>
                <w:color w:val="auto"/>
                <w:sz w:val="22"/>
                <w:szCs w:val="22"/>
              </w:rPr>
            </w:pPr>
            <w:r>
              <w:rPr>
                <w:rFonts w:hint="eastAsia" w:ascii="仿宋" w:hAnsi="仿宋" w:eastAsia="仿宋" w:cs="仿宋"/>
                <w:b/>
                <w:bCs/>
                <w:color w:val="auto"/>
                <w:spacing w:val="-5"/>
                <w:sz w:val="22"/>
                <w:szCs w:val="22"/>
              </w:rPr>
              <w:t>服务质量</w:t>
            </w:r>
          </w:p>
        </w:tc>
        <w:tc>
          <w:tcPr>
            <w:tcW w:w="4811" w:type="dxa"/>
            <w:vAlign w:val="top"/>
          </w:tcPr>
          <w:p w14:paraId="7A94BBC8">
            <w:pPr>
              <w:rPr>
                <w:rFonts w:hint="eastAsia" w:ascii="仿宋" w:hAnsi="仿宋" w:eastAsia="仿宋" w:cs="仿宋"/>
                <w:color w:val="auto"/>
                <w:sz w:val="20"/>
                <w:szCs w:val="22"/>
              </w:rPr>
            </w:pPr>
          </w:p>
        </w:tc>
        <w:tc>
          <w:tcPr>
            <w:tcW w:w="2236" w:type="dxa"/>
            <w:vAlign w:val="top"/>
          </w:tcPr>
          <w:p w14:paraId="38CC3CD4">
            <w:pPr>
              <w:rPr>
                <w:rFonts w:hint="eastAsia" w:ascii="仿宋" w:hAnsi="仿宋" w:eastAsia="仿宋" w:cs="仿宋"/>
                <w:color w:val="auto"/>
                <w:sz w:val="20"/>
                <w:szCs w:val="22"/>
              </w:rPr>
            </w:pPr>
          </w:p>
        </w:tc>
      </w:tr>
      <w:tr w14:paraId="1FB77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937" w:type="dxa"/>
            <w:vAlign w:val="top"/>
          </w:tcPr>
          <w:p w14:paraId="0459E303">
            <w:pPr>
              <w:spacing w:line="365" w:lineRule="auto"/>
              <w:rPr>
                <w:rFonts w:hint="eastAsia" w:ascii="仿宋" w:hAnsi="仿宋" w:eastAsia="仿宋" w:cs="仿宋"/>
                <w:color w:val="auto"/>
                <w:sz w:val="20"/>
                <w:szCs w:val="22"/>
              </w:rPr>
            </w:pPr>
          </w:p>
          <w:p w14:paraId="22540CCA">
            <w:pPr>
              <w:pStyle w:val="109"/>
              <w:spacing w:before="78" w:line="183" w:lineRule="auto"/>
              <w:ind w:left="291"/>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4</w:t>
            </w:r>
          </w:p>
        </w:tc>
        <w:tc>
          <w:tcPr>
            <w:tcW w:w="1939" w:type="dxa"/>
            <w:vAlign w:val="top"/>
          </w:tcPr>
          <w:p w14:paraId="51AB0A70">
            <w:pPr>
              <w:spacing w:line="328" w:lineRule="auto"/>
              <w:rPr>
                <w:rFonts w:hint="eastAsia" w:ascii="仿宋" w:hAnsi="仿宋" w:eastAsia="仿宋" w:cs="仿宋"/>
                <w:color w:val="auto"/>
                <w:sz w:val="20"/>
                <w:szCs w:val="22"/>
              </w:rPr>
            </w:pPr>
          </w:p>
          <w:p w14:paraId="2D6315AB">
            <w:pPr>
              <w:pStyle w:val="109"/>
              <w:spacing w:before="78" w:line="219" w:lineRule="auto"/>
              <w:ind w:left="437"/>
              <w:rPr>
                <w:rFonts w:hint="eastAsia" w:ascii="仿宋" w:hAnsi="仿宋" w:eastAsia="仿宋" w:cs="仿宋"/>
                <w:color w:val="auto"/>
                <w:sz w:val="22"/>
                <w:szCs w:val="22"/>
              </w:rPr>
            </w:pPr>
            <w:r>
              <w:rPr>
                <w:rFonts w:hint="eastAsia" w:ascii="仿宋" w:hAnsi="仿宋" w:eastAsia="仿宋" w:cs="仿宋"/>
                <w:b/>
                <w:bCs/>
                <w:color w:val="auto"/>
                <w:spacing w:val="-6"/>
                <w:sz w:val="22"/>
                <w:szCs w:val="22"/>
              </w:rPr>
              <w:t>项目负责人</w:t>
            </w:r>
          </w:p>
        </w:tc>
        <w:tc>
          <w:tcPr>
            <w:tcW w:w="4811" w:type="dxa"/>
            <w:vAlign w:val="top"/>
          </w:tcPr>
          <w:p w14:paraId="54F412F9">
            <w:pPr>
              <w:rPr>
                <w:rFonts w:hint="eastAsia" w:ascii="仿宋" w:hAnsi="仿宋" w:eastAsia="仿宋" w:cs="仿宋"/>
                <w:color w:val="auto"/>
                <w:sz w:val="20"/>
                <w:szCs w:val="22"/>
              </w:rPr>
            </w:pPr>
          </w:p>
        </w:tc>
        <w:tc>
          <w:tcPr>
            <w:tcW w:w="2236" w:type="dxa"/>
            <w:vAlign w:val="top"/>
          </w:tcPr>
          <w:p w14:paraId="2741AE5B">
            <w:pPr>
              <w:rPr>
                <w:rFonts w:hint="eastAsia" w:ascii="仿宋" w:hAnsi="仿宋" w:eastAsia="仿宋" w:cs="仿宋"/>
                <w:color w:val="auto"/>
                <w:sz w:val="20"/>
                <w:szCs w:val="22"/>
              </w:rPr>
            </w:pPr>
          </w:p>
        </w:tc>
      </w:tr>
      <w:tr w14:paraId="7C214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937" w:type="dxa"/>
            <w:vAlign w:val="top"/>
          </w:tcPr>
          <w:p w14:paraId="28D5F088">
            <w:pPr>
              <w:spacing w:line="252" w:lineRule="auto"/>
              <w:rPr>
                <w:rFonts w:hint="eastAsia" w:ascii="仿宋" w:hAnsi="仿宋" w:eastAsia="仿宋" w:cs="仿宋"/>
                <w:color w:val="auto"/>
                <w:sz w:val="20"/>
                <w:szCs w:val="22"/>
              </w:rPr>
            </w:pPr>
          </w:p>
          <w:p w14:paraId="5D7A9DF7">
            <w:pPr>
              <w:pStyle w:val="109"/>
              <w:spacing w:before="78" w:line="182" w:lineRule="auto"/>
              <w:ind w:left="297"/>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5</w:t>
            </w:r>
          </w:p>
        </w:tc>
        <w:tc>
          <w:tcPr>
            <w:tcW w:w="1939" w:type="dxa"/>
            <w:vAlign w:val="top"/>
          </w:tcPr>
          <w:p w14:paraId="250BCF14">
            <w:pPr>
              <w:pStyle w:val="109"/>
              <w:spacing w:before="293" w:line="219" w:lineRule="auto"/>
              <w:ind w:left="796"/>
              <w:rPr>
                <w:rFonts w:hint="eastAsia" w:ascii="仿宋" w:hAnsi="仿宋" w:eastAsia="仿宋" w:cs="仿宋"/>
                <w:color w:val="auto"/>
                <w:sz w:val="22"/>
                <w:szCs w:val="22"/>
              </w:rPr>
            </w:pPr>
            <w:r>
              <w:rPr>
                <w:rFonts w:hint="eastAsia" w:ascii="仿宋" w:hAnsi="仿宋" w:eastAsia="仿宋" w:cs="仿宋"/>
                <w:b/>
                <w:bCs/>
                <w:color w:val="auto"/>
                <w:spacing w:val="-9"/>
                <w:sz w:val="22"/>
                <w:szCs w:val="22"/>
              </w:rPr>
              <w:t>说明</w:t>
            </w:r>
          </w:p>
        </w:tc>
        <w:tc>
          <w:tcPr>
            <w:tcW w:w="4811" w:type="dxa"/>
            <w:vAlign w:val="top"/>
          </w:tcPr>
          <w:p w14:paraId="14815768">
            <w:pPr>
              <w:rPr>
                <w:rFonts w:hint="eastAsia" w:ascii="仿宋" w:hAnsi="仿宋" w:eastAsia="仿宋" w:cs="仿宋"/>
                <w:color w:val="auto"/>
                <w:sz w:val="20"/>
                <w:szCs w:val="22"/>
              </w:rPr>
            </w:pPr>
          </w:p>
        </w:tc>
        <w:tc>
          <w:tcPr>
            <w:tcW w:w="2236" w:type="dxa"/>
            <w:vAlign w:val="top"/>
          </w:tcPr>
          <w:p w14:paraId="70E6F57A">
            <w:pPr>
              <w:rPr>
                <w:rFonts w:hint="eastAsia" w:ascii="仿宋" w:hAnsi="仿宋" w:eastAsia="仿宋" w:cs="仿宋"/>
                <w:color w:val="auto"/>
                <w:sz w:val="20"/>
                <w:szCs w:val="22"/>
              </w:rPr>
            </w:pPr>
          </w:p>
        </w:tc>
      </w:tr>
    </w:tbl>
    <w:p w14:paraId="10064D29">
      <w:pPr>
        <w:pStyle w:val="2"/>
        <w:spacing w:before="114" w:line="219" w:lineRule="auto"/>
        <w:ind w:left="103"/>
        <w:rPr>
          <w:rFonts w:hint="eastAsia" w:ascii="仿宋" w:hAnsi="仿宋" w:eastAsia="仿宋" w:cs="仿宋"/>
          <w:color w:val="auto"/>
        </w:rPr>
      </w:pPr>
      <w:r>
        <w:rPr>
          <w:rFonts w:hint="eastAsia" w:ascii="仿宋" w:hAnsi="仿宋" w:eastAsia="仿宋" w:cs="仿宋"/>
          <w:b/>
          <w:bCs/>
          <w:color w:val="auto"/>
          <w:spacing w:val="-4"/>
        </w:rPr>
        <w:t>注：此页须同时放在响应文件封面后一页。</w:t>
      </w:r>
    </w:p>
    <w:p w14:paraId="1EC8CA01">
      <w:pPr>
        <w:spacing w:line="297" w:lineRule="auto"/>
        <w:rPr>
          <w:rFonts w:ascii="Arial"/>
          <w:color w:val="auto"/>
          <w:sz w:val="21"/>
        </w:rPr>
      </w:pPr>
    </w:p>
    <w:p w14:paraId="78F75303">
      <w:pPr>
        <w:spacing w:line="297" w:lineRule="auto"/>
        <w:rPr>
          <w:rFonts w:hint="eastAsia" w:ascii="仿宋" w:hAnsi="仿宋" w:eastAsia="仿宋" w:cs="仿宋"/>
          <w:color w:val="auto"/>
          <w:sz w:val="21"/>
        </w:rPr>
      </w:pPr>
    </w:p>
    <w:p w14:paraId="4C5AE867">
      <w:pPr>
        <w:pStyle w:val="2"/>
        <w:spacing w:before="78" w:line="219" w:lineRule="auto"/>
        <w:ind w:left="100"/>
        <w:rPr>
          <w:rFonts w:hint="eastAsia" w:ascii="仿宋" w:hAnsi="仿宋" w:eastAsia="仿宋" w:cs="仿宋"/>
          <w:color w:val="auto"/>
        </w:rPr>
      </w:pPr>
      <w:r>
        <w:rPr>
          <w:rFonts w:hint="eastAsia" w:ascii="仿宋" w:hAnsi="仿宋" w:eastAsia="仿宋" w:cs="仿宋"/>
          <w:b/>
          <w:bCs/>
          <w:color w:val="auto"/>
        </w:rPr>
        <w:t>供应商</w:t>
      </w:r>
      <w:r>
        <w:rPr>
          <w:rFonts w:hint="eastAsia" w:ascii="仿宋" w:hAnsi="仿宋" w:eastAsia="仿宋" w:cs="仿宋"/>
          <w:b/>
          <w:bCs/>
          <w:color w:val="auto"/>
          <w:spacing w:val="-18"/>
        </w:rPr>
        <w:t>：</w:t>
      </w:r>
      <w:r>
        <w:rPr>
          <w:rFonts w:hint="eastAsia" w:ascii="仿宋" w:hAnsi="仿宋" w:eastAsia="仿宋" w:cs="仿宋"/>
          <w:color w:val="auto"/>
          <w:spacing w:val="6"/>
          <w:u w:val="single" w:color="auto"/>
        </w:rPr>
        <w:t xml:space="preserve">                   </w:t>
      </w:r>
      <w:r>
        <w:rPr>
          <w:rFonts w:hint="eastAsia" w:ascii="仿宋" w:hAnsi="仿宋" w:eastAsia="仿宋" w:cs="仿宋"/>
          <w:b/>
          <w:bCs/>
          <w:color w:val="auto"/>
          <w:spacing w:val="-18"/>
          <w:u w:val="single" w:color="auto"/>
        </w:rPr>
        <w:t>（</w:t>
      </w:r>
      <w:r>
        <w:rPr>
          <w:rFonts w:hint="eastAsia" w:ascii="仿宋" w:hAnsi="仿宋" w:eastAsia="仿宋" w:cs="仿宋"/>
          <w:b/>
          <w:bCs/>
          <w:color w:val="auto"/>
          <w:u w:val="single" w:color="auto"/>
        </w:rPr>
        <w:t>盖单位章）</w:t>
      </w:r>
    </w:p>
    <w:p w14:paraId="3E6B489B">
      <w:pPr>
        <w:pStyle w:val="2"/>
        <w:spacing w:before="265" w:line="219" w:lineRule="auto"/>
        <w:ind w:left="101"/>
        <w:rPr>
          <w:rFonts w:hint="eastAsia" w:ascii="仿宋" w:hAnsi="仿宋" w:eastAsia="仿宋" w:cs="仿宋"/>
          <w:color w:val="auto"/>
        </w:rPr>
      </w:pPr>
      <w:r>
        <w:rPr>
          <w:rFonts w:hint="eastAsia" w:ascii="仿宋" w:hAnsi="仿宋" w:eastAsia="仿宋" w:cs="仿宋"/>
          <w:b/>
          <w:bCs/>
          <w:color w:val="auto"/>
          <w:spacing w:val="-2"/>
        </w:rPr>
        <w:t>法定代表人或授权代理人</w:t>
      </w:r>
      <w:r>
        <w:rPr>
          <w:rFonts w:hint="eastAsia" w:ascii="仿宋" w:hAnsi="仿宋" w:eastAsia="仿宋" w:cs="仿宋"/>
          <w:b/>
          <w:bCs/>
          <w:color w:val="auto"/>
          <w:spacing w:val="-13"/>
        </w:rPr>
        <w:t>：</w:t>
      </w:r>
      <w:r>
        <w:rPr>
          <w:rFonts w:hint="eastAsia" w:ascii="仿宋" w:hAnsi="仿宋" w:eastAsia="仿宋" w:cs="仿宋"/>
          <w:color w:val="auto"/>
          <w:spacing w:val="20"/>
          <w:u w:val="single" w:color="auto"/>
        </w:rPr>
        <w:t xml:space="preserve">      </w:t>
      </w:r>
      <w:r>
        <w:rPr>
          <w:rFonts w:hint="eastAsia" w:ascii="仿宋" w:hAnsi="仿宋" w:eastAsia="仿宋" w:cs="仿宋"/>
          <w:b/>
          <w:bCs/>
          <w:color w:val="auto"/>
          <w:spacing w:val="-13"/>
          <w:u w:val="single" w:color="auto"/>
        </w:rPr>
        <w:t>（</w:t>
      </w:r>
      <w:r>
        <w:rPr>
          <w:rFonts w:hint="eastAsia" w:ascii="仿宋" w:hAnsi="仿宋" w:eastAsia="仿宋" w:cs="仿宋"/>
          <w:b/>
          <w:bCs/>
          <w:color w:val="auto"/>
          <w:spacing w:val="-2"/>
          <w:u w:val="single" w:color="auto"/>
        </w:rPr>
        <w:t>签字或盖章）</w:t>
      </w:r>
    </w:p>
    <w:p w14:paraId="08F4225D">
      <w:pPr>
        <w:pStyle w:val="2"/>
        <w:spacing w:before="268" w:line="219" w:lineRule="auto"/>
        <w:ind w:left="141"/>
        <w:rPr>
          <w:rFonts w:hint="eastAsia" w:ascii="仿宋" w:hAnsi="仿宋" w:eastAsia="仿宋" w:cs="仿宋"/>
          <w:color w:val="auto"/>
        </w:rPr>
      </w:pPr>
      <w:r>
        <w:rPr>
          <w:rFonts w:hint="eastAsia" w:ascii="仿宋" w:hAnsi="仿宋" w:eastAsia="仿宋" w:cs="仿宋"/>
          <w:b/>
          <w:bCs/>
          <w:color w:val="auto"/>
          <w:spacing w:val="-18"/>
        </w:rPr>
        <w:t>日</w:t>
      </w:r>
      <w:r>
        <w:rPr>
          <w:rFonts w:hint="eastAsia" w:ascii="仿宋" w:hAnsi="仿宋" w:eastAsia="仿宋" w:cs="仿宋"/>
          <w:color w:val="auto"/>
          <w:spacing w:val="7"/>
        </w:rPr>
        <w:t xml:space="preserve">  </w:t>
      </w:r>
      <w:r>
        <w:rPr>
          <w:rFonts w:hint="eastAsia" w:ascii="仿宋" w:hAnsi="仿宋" w:eastAsia="仿宋" w:cs="仿宋"/>
          <w:b/>
          <w:bCs/>
          <w:color w:val="auto"/>
          <w:spacing w:val="-18"/>
        </w:rPr>
        <w:t>期：</w:t>
      </w:r>
      <w:r>
        <w:rPr>
          <w:rFonts w:hint="eastAsia" w:ascii="仿宋" w:hAnsi="仿宋" w:eastAsia="仿宋" w:cs="仿宋"/>
          <w:color w:val="auto"/>
          <w:u w:val="single" w:color="auto"/>
        </w:rPr>
        <w:t xml:space="preserve">     </w:t>
      </w:r>
      <w:r>
        <w:rPr>
          <w:rFonts w:hint="eastAsia" w:ascii="仿宋" w:hAnsi="仿宋" w:eastAsia="仿宋" w:cs="仿宋"/>
          <w:color w:val="auto"/>
          <w:spacing w:val="-108"/>
        </w:rPr>
        <w:t xml:space="preserve"> </w:t>
      </w:r>
      <w:r>
        <w:rPr>
          <w:rFonts w:hint="eastAsia" w:ascii="仿宋" w:hAnsi="仿宋" w:eastAsia="仿宋" w:cs="仿宋"/>
          <w:b/>
          <w:bCs/>
          <w:color w:val="auto"/>
          <w:spacing w:val="-18"/>
        </w:rPr>
        <w:t>年</w:t>
      </w:r>
      <w:r>
        <w:rPr>
          <w:rFonts w:hint="eastAsia" w:ascii="仿宋" w:hAnsi="仿宋" w:eastAsia="仿宋" w:cs="仿宋"/>
          <w:color w:val="auto"/>
          <w:u w:val="single" w:color="auto"/>
        </w:rPr>
        <w:t xml:space="preserve">    </w:t>
      </w:r>
      <w:r>
        <w:rPr>
          <w:rFonts w:hint="eastAsia" w:ascii="仿宋" w:hAnsi="仿宋" w:eastAsia="仿宋" w:cs="仿宋"/>
          <w:color w:val="auto"/>
          <w:spacing w:val="-105"/>
        </w:rPr>
        <w:t xml:space="preserve"> </w:t>
      </w:r>
      <w:r>
        <w:rPr>
          <w:rFonts w:hint="eastAsia" w:ascii="仿宋" w:hAnsi="仿宋" w:eastAsia="仿宋" w:cs="仿宋"/>
          <w:b/>
          <w:bCs/>
          <w:color w:val="auto"/>
          <w:spacing w:val="-18"/>
        </w:rPr>
        <w:t>月</w:t>
      </w:r>
      <w:r>
        <w:rPr>
          <w:rFonts w:hint="eastAsia" w:ascii="仿宋" w:hAnsi="仿宋" w:eastAsia="仿宋" w:cs="仿宋"/>
          <w:color w:val="auto"/>
          <w:spacing w:val="40"/>
          <w:u w:val="single" w:color="auto"/>
        </w:rPr>
        <w:t xml:space="preserve">   </w:t>
      </w:r>
      <w:r>
        <w:rPr>
          <w:rFonts w:hint="eastAsia" w:ascii="仿宋" w:hAnsi="仿宋" w:eastAsia="仿宋" w:cs="仿宋"/>
          <w:color w:val="auto"/>
          <w:spacing w:val="-70"/>
        </w:rPr>
        <w:t xml:space="preserve"> </w:t>
      </w:r>
      <w:r>
        <w:rPr>
          <w:rFonts w:hint="eastAsia" w:ascii="仿宋" w:hAnsi="仿宋" w:eastAsia="仿宋" w:cs="仿宋"/>
          <w:b/>
          <w:bCs/>
          <w:color w:val="auto"/>
          <w:spacing w:val="-18"/>
        </w:rPr>
        <w:t>日</w:t>
      </w:r>
    </w:p>
    <w:p w14:paraId="21E70BA0">
      <w:pPr>
        <w:rPr>
          <w:rFonts w:hint="eastAsia" w:ascii="仿宋" w:hAnsi="仿宋" w:eastAsia="仿宋" w:cs="仿宋"/>
          <w:color w:val="auto"/>
          <w:sz w:val="32"/>
          <w:highlight w:val="none"/>
        </w:rPr>
      </w:pPr>
    </w:p>
    <w:p w14:paraId="52EF1492">
      <w:pPr>
        <w:rPr>
          <w:rFonts w:ascii="仿宋" w:hAnsi="仿宋" w:eastAsia="仿宋" w:cs="仿宋"/>
          <w:color w:val="auto"/>
          <w:sz w:val="32"/>
          <w:highlight w:val="none"/>
        </w:rPr>
      </w:pPr>
      <w:r>
        <w:rPr>
          <w:rFonts w:hint="eastAsia" w:ascii="仿宋" w:hAnsi="仿宋" w:eastAsia="仿宋" w:cs="仿宋"/>
          <w:color w:val="auto"/>
          <w:sz w:val="32"/>
          <w:highlight w:val="none"/>
        </w:rPr>
        <w:br w:type="page"/>
      </w:r>
    </w:p>
    <w:p w14:paraId="120796D2">
      <w:pPr>
        <w:tabs>
          <w:tab w:val="left" w:pos="1021"/>
        </w:tabs>
        <w:ind w:left="425"/>
        <w:jc w:val="center"/>
        <w:rPr>
          <w:rFonts w:ascii="仿宋" w:hAnsi="仿宋" w:eastAsia="仿宋" w:cs="仿宋"/>
          <w:b/>
          <w:bCs/>
          <w:color w:val="auto"/>
          <w:sz w:val="32"/>
          <w:highlight w:val="none"/>
        </w:rPr>
      </w:pPr>
      <w:r>
        <w:rPr>
          <w:rFonts w:hint="eastAsia" w:ascii="仿宋" w:hAnsi="仿宋" w:eastAsia="仿宋" w:cs="仿宋"/>
          <w:b/>
          <w:bCs/>
          <w:color w:val="auto"/>
          <w:sz w:val="32"/>
          <w:highlight w:val="none"/>
        </w:rPr>
        <w:t>响应文件目录</w:t>
      </w:r>
    </w:p>
    <w:p w14:paraId="77677868">
      <w:pPr>
        <w:spacing w:line="360" w:lineRule="auto"/>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注：格式自拟，响应文件内容须按照目录顺序进行装订，并每页连续标注页码。</w:t>
      </w:r>
    </w:p>
    <w:p w14:paraId="74BF97C9">
      <w:pPr>
        <w:spacing w:line="360" w:lineRule="auto"/>
        <w:jc w:val="left"/>
        <w:rPr>
          <w:rFonts w:ascii="仿宋" w:hAnsi="仿宋" w:eastAsia="仿宋" w:cs="仿宋"/>
          <w:color w:val="auto"/>
          <w:szCs w:val="21"/>
          <w:highlight w:val="none"/>
        </w:rPr>
      </w:pPr>
    </w:p>
    <w:p w14:paraId="0A1906AB">
      <w:pPr>
        <w:tabs>
          <w:tab w:val="left" w:pos="720"/>
          <w:tab w:val="left" w:pos="1021"/>
          <w:tab w:val="left" w:pos="3690"/>
        </w:tabs>
        <w:snapToGrid w:val="0"/>
        <w:spacing w:beforeLines="50" w:afterLines="50"/>
        <w:jc w:val="center"/>
        <w:rPr>
          <w:rFonts w:ascii="仿宋" w:hAnsi="仿宋" w:eastAsia="仿宋" w:cs="仿宋"/>
          <w:color w:val="auto"/>
          <w:szCs w:val="28"/>
          <w:highlight w:val="none"/>
        </w:rPr>
      </w:pPr>
      <w:r>
        <w:rPr>
          <w:rFonts w:hint="eastAsia" w:ascii="仿宋" w:hAnsi="仿宋" w:eastAsia="仿宋" w:cs="仿宋"/>
          <w:color w:val="auto"/>
          <w:szCs w:val="28"/>
          <w:highlight w:val="none"/>
        </w:rPr>
        <w:br w:type="page"/>
      </w:r>
      <w:bookmarkStart w:id="105" w:name="_Toc16532"/>
      <w:bookmarkStart w:id="106" w:name="_Toc28424"/>
      <w:bookmarkStart w:id="107" w:name="_Toc22482"/>
      <w:bookmarkStart w:id="108" w:name="_Toc3748"/>
      <w:bookmarkStart w:id="109" w:name="_Toc22303"/>
      <w:bookmarkStart w:id="110" w:name="_Toc23057"/>
      <w:bookmarkStart w:id="111" w:name="_Toc19125"/>
      <w:bookmarkStart w:id="112" w:name="_Toc30244"/>
      <w:bookmarkStart w:id="113" w:name="_Toc5983"/>
    </w:p>
    <w:p w14:paraId="29F37E23">
      <w:pPr>
        <w:pStyle w:val="4"/>
        <w:spacing w:before="0"/>
        <w:ind w:left="425" w:firstLine="0"/>
        <w:rPr>
          <w:rFonts w:ascii="仿宋" w:hAnsi="仿宋" w:eastAsia="仿宋" w:cs="仿宋"/>
          <w:color w:val="auto"/>
          <w:szCs w:val="28"/>
          <w:highlight w:val="none"/>
        </w:rPr>
      </w:pPr>
      <w:bookmarkStart w:id="114" w:name="_Toc5685"/>
      <w:r>
        <w:rPr>
          <w:rFonts w:hint="eastAsia" w:ascii="仿宋" w:hAnsi="仿宋" w:eastAsia="仿宋" w:cs="仿宋"/>
          <w:bCs w:val="0"/>
          <w:color w:val="auto"/>
          <w:sz w:val="32"/>
          <w:highlight w:val="none"/>
        </w:rPr>
        <w:t>（二）资格证明文件</w:t>
      </w:r>
      <w:bookmarkEnd w:id="114"/>
    </w:p>
    <w:p w14:paraId="01C50CA9">
      <w:pPr>
        <w:tabs>
          <w:tab w:val="left" w:pos="720"/>
          <w:tab w:val="left" w:pos="1021"/>
          <w:tab w:val="left" w:pos="3690"/>
        </w:tabs>
        <w:snapToGrid w:val="0"/>
        <w:spacing w:beforeLines="50" w:afterLines="50"/>
        <w:jc w:val="center"/>
        <w:outlineLvl w:val="2"/>
        <w:rPr>
          <w:rFonts w:ascii="仿宋" w:hAnsi="仿宋" w:eastAsia="仿宋" w:cs="仿宋"/>
          <w:b/>
          <w:bCs/>
          <w:color w:val="auto"/>
          <w:sz w:val="24"/>
          <w:highlight w:val="none"/>
        </w:rPr>
      </w:pPr>
      <w:r>
        <w:rPr>
          <w:rFonts w:hint="eastAsia" w:ascii="仿宋" w:hAnsi="仿宋" w:eastAsia="仿宋" w:cs="仿宋"/>
          <w:b/>
          <w:bCs/>
          <w:iCs/>
          <w:color w:val="auto"/>
          <w:sz w:val="24"/>
          <w:highlight w:val="none"/>
        </w:rPr>
        <w:t>供应商基本情况表</w:t>
      </w:r>
      <w:bookmarkEnd w:id="105"/>
      <w:bookmarkEnd w:id="106"/>
      <w:bookmarkEnd w:id="107"/>
      <w:bookmarkEnd w:id="108"/>
      <w:bookmarkEnd w:id="109"/>
      <w:bookmarkEnd w:id="110"/>
      <w:bookmarkEnd w:id="111"/>
      <w:bookmarkEnd w:id="112"/>
      <w:bookmarkEnd w:id="113"/>
    </w:p>
    <w:p w14:paraId="27B11473">
      <w:pPr>
        <w:spacing w:after="240"/>
        <w:rPr>
          <w:rFonts w:ascii="仿宋" w:hAnsi="仿宋" w:eastAsia="仿宋" w:cs="仿宋"/>
          <w:color w:val="auto"/>
          <w:szCs w:val="21"/>
          <w:highlight w:val="none"/>
        </w:rPr>
      </w:pPr>
      <w:r>
        <w:rPr>
          <w:rFonts w:hint="eastAsia" w:ascii="仿宋" w:hAnsi="仿宋" w:eastAsia="仿宋" w:cs="仿宋"/>
          <w:color w:val="auto"/>
          <w:szCs w:val="21"/>
          <w:highlight w:val="none"/>
        </w:rPr>
        <w:t>供应商:(公章)                                         填表日期:</w:t>
      </w:r>
    </w:p>
    <w:tbl>
      <w:tblPr>
        <w:tblStyle w:val="2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7"/>
        <w:gridCol w:w="1112"/>
        <w:gridCol w:w="2423"/>
        <w:gridCol w:w="1368"/>
        <w:gridCol w:w="1929"/>
      </w:tblGrid>
      <w:tr w14:paraId="7761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5CB1DE8">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tc>
        <w:tc>
          <w:tcPr>
            <w:tcW w:w="6832" w:type="dxa"/>
            <w:gridSpan w:val="4"/>
            <w:tcBorders>
              <w:top w:val="single" w:color="auto" w:sz="4" w:space="0"/>
              <w:left w:val="nil"/>
              <w:bottom w:val="single" w:color="auto" w:sz="4" w:space="0"/>
              <w:right w:val="single" w:color="auto" w:sz="4" w:space="0"/>
            </w:tcBorders>
            <w:vAlign w:val="center"/>
          </w:tcPr>
          <w:p w14:paraId="56D03DEB">
            <w:pPr>
              <w:keepNext/>
              <w:keepLines/>
              <w:tabs>
                <w:tab w:val="left" w:pos="1021"/>
              </w:tabs>
              <w:spacing w:line="240" w:lineRule="atLeast"/>
              <w:jc w:val="center"/>
              <w:rPr>
                <w:rFonts w:ascii="仿宋" w:hAnsi="仿宋" w:eastAsia="仿宋" w:cs="仿宋"/>
                <w:color w:val="auto"/>
                <w:szCs w:val="21"/>
                <w:highlight w:val="none"/>
              </w:rPr>
            </w:pPr>
          </w:p>
        </w:tc>
      </w:tr>
      <w:tr w14:paraId="2AA7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5E6159AB">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税号</w:t>
            </w:r>
          </w:p>
        </w:tc>
        <w:tc>
          <w:tcPr>
            <w:tcW w:w="6832" w:type="dxa"/>
            <w:gridSpan w:val="4"/>
            <w:tcBorders>
              <w:top w:val="single" w:color="auto" w:sz="4" w:space="0"/>
              <w:left w:val="nil"/>
              <w:bottom w:val="single" w:color="auto" w:sz="4" w:space="0"/>
              <w:right w:val="single" w:color="auto" w:sz="4" w:space="0"/>
            </w:tcBorders>
            <w:vAlign w:val="center"/>
          </w:tcPr>
          <w:p w14:paraId="1D906DDE">
            <w:pPr>
              <w:keepNext/>
              <w:keepLines/>
              <w:tabs>
                <w:tab w:val="left" w:pos="1021"/>
              </w:tabs>
              <w:spacing w:line="240" w:lineRule="atLeast"/>
              <w:jc w:val="center"/>
              <w:rPr>
                <w:rFonts w:ascii="仿宋" w:hAnsi="仿宋" w:eastAsia="仿宋" w:cs="仿宋"/>
                <w:color w:val="auto"/>
                <w:szCs w:val="21"/>
                <w:highlight w:val="none"/>
              </w:rPr>
            </w:pPr>
          </w:p>
        </w:tc>
      </w:tr>
      <w:tr w14:paraId="2D0E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54326E53">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注册资金</w:t>
            </w:r>
          </w:p>
        </w:tc>
        <w:tc>
          <w:tcPr>
            <w:tcW w:w="3535" w:type="dxa"/>
            <w:gridSpan w:val="2"/>
            <w:tcBorders>
              <w:top w:val="single" w:color="auto" w:sz="4" w:space="0"/>
              <w:left w:val="nil"/>
              <w:bottom w:val="single" w:color="auto" w:sz="4" w:space="0"/>
              <w:right w:val="single" w:color="auto" w:sz="4" w:space="0"/>
            </w:tcBorders>
            <w:vAlign w:val="center"/>
          </w:tcPr>
          <w:p w14:paraId="432603A9">
            <w:pPr>
              <w:keepNext/>
              <w:keepLines/>
              <w:tabs>
                <w:tab w:val="left" w:pos="1021"/>
              </w:tabs>
              <w:spacing w:line="240" w:lineRule="atLeast"/>
              <w:jc w:val="center"/>
              <w:rPr>
                <w:rFonts w:ascii="仿宋" w:hAnsi="仿宋" w:eastAsia="仿宋" w:cs="仿宋"/>
                <w:color w:val="auto"/>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57FDBA4B">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p>
        </w:tc>
        <w:tc>
          <w:tcPr>
            <w:tcW w:w="1929" w:type="dxa"/>
            <w:tcBorders>
              <w:top w:val="single" w:color="auto" w:sz="4" w:space="0"/>
              <w:left w:val="nil"/>
              <w:bottom w:val="single" w:color="auto" w:sz="4" w:space="0"/>
              <w:right w:val="single" w:color="auto" w:sz="4" w:space="0"/>
            </w:tcBorders>
            <w:vAlign w:val="center"/>
          </w:tcPr>
          <w:p w14:paraId="6771ECAB">
            <w:pPr>
              <w:keepNext/>
              <w:keepLines/>
              <w:tabs>
                <w:tab w:val="left" w:pos="1021"/>
              </w:tabs>
              <w:spacing w:line="240" w:lineRule="atLeast"/>
              <w:jc w:val="center"/>
              <w:rPr>
                <w:rFonts w:ascii="仿宋" w:hAnsi="仿宋" w:eastAsia="仿宋" w:cs="仿宋"/>
                <w:color w:val="auto"/>
                <w:szCs w:val="21"/>
                <w:highlight w:val="none"/>
              </w:rPr>
            </w:pPr>
          </w:p>
        </w:tc>
      </w:tr>
      <w:tr w14:paraId="59BB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1C1D0984">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注册地址</w:t>
            </w:r>
          </w:p>
        </w:tc>
        <w:tc>
          <w:tcPr>
            <w:tcW w:w="6832" w:type="dxa"/>
            <w:gridSpan w:val="4"/>
            <w:tcBorders>
              <w:top w:val="single" w:color="auto" w:sz="4" w:space="0"/>
              <w:left w:val="nil"/>
              <w:bottom w:val="single" w:color="auto" w:sz="4" w:space="0"/>
              <w:right w:val="single" w:color="auto" w:sz="4" w:space="0"/>
            </w:tcBorders>
            <w:vAlign w:val="center"/>
          </w:tcPr>
          <w:p w14:paraId="66F24618">
            <w:pPr>
              <w:keepNext/>
              <w:keepLines/>
              <w:tabs>
                <w:tab w:val="left" w:pos="1021"/>
              </w:tabs>
              <w:spacing w:line="240" w:lineRule="atLeast"/>
              <w:jc w:val="center"/>
              <w:rPr>
                <w:rFonts w:ascii="仿宋" w:hAnsi="仿宋" w:eastAsia="仿宋" w:cs="仿宋"/>
                <w:color w:val="auto"/>
                <w:szCs w:val="21"/>
                <w:highlight w:val="none"/>
              </w:rPr>
            </w:pPr>
          </w:p>
        </w:tc>
      </w:tr>
      <w:tr w14:paraId="49A9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014B50FC">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邮政编码</w:t>
            </w:r>
          </w:p>
        </w:tc>
        <w:tc>
          <w:tcPr>
            <w:tcW w:w="3535" w:type="dxa"/>
            <w:gridSpan w:val="2"/>
            <w:tcBorders>
              <w:top w:val="single" w:color="auto" w:sz="4" w:space="0"/>
              <w:left w:val="nil"/>
              <w:bottom w:val="single" w:color="auto" w:sz="4" w:space="0"/>
              <w:right w:val="single" w:color="auto" w:sz="4" w:space="0"/>
            </w:tcBorders>
            <w:vAlign w:val="center"/>
          </w:tcPr>
          <w:p w14:paraId="75081051">
            <w:pPr>
              <w:keepNext/>
              <w:keepLines/>
              <w:tabs>
                <w:tab w:val="left" w:pos="1021"/>
              </w:tabs>
              <w:spacing w:line="240" w:lineRule="atLeast"/>
              <w:jc w:val="center"/>
              <w:rPr>
                <w:rFonts w:ascii="仿宋" w:hAnsi="仿宋" w:eastAsia="仿宋" w:cs="仿宋"/>
                <w:color w:val="auto"/>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3D822ADD">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员工总数</w:t>
            </w:r>
          </w:p>
        </w:tc>
        <w:tc>
          <w:tcPr>
            <w:tcW w:w="1929" w:type="dxa"/>
            <w:tcBorders>
              <w:top w:val="single" w:color="auto" w:sz="4" w:space="0"/>
              <w:left w:val="nil"/>
              <w:bottom w:val="single" w:color="auto" w:sz="4" w:space="0"/>
              <w:right w:val="single" w:color="auto" w:sz="4" w:space="0"/>
            </w:tcBorders>
            <w:vAlign w:val="center"/>
          </w:tcPr>
          <w:p w14:paraId="47D1C94A">
            <w:pPr>
              <w:keepNext/>
              <w:keepLines/>
              <w:tabs>
                <w:tab w:val="left" w:pos="1021"/>
              </w:tabs>
              <w:spacing w:line="240" w:lineRule="atLeast"/>
              <w:jc w:val="center"/>
              <w:rPr>
                <w:rFonts w:ascii="仿宋" w:hAnsi="仿宋" w:eastAsia="仿宋" w:cs="仿宋"/>
                <w:color w:val="auto"/>
                <w:szCs w:val="21"/>
                <w:highlight w:val="none"/>
              </w:rPr>
            </w:pPr>
          </w:p>
        </w:tc>
      </w:tr>
      <w:tr w14:paraId="72F0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7" w:type="dxa"/>
            <w:vMerge w:val="restart"/>
            <w:tcBorders>
              <w:top w:val="nil"/>
              <w:left w:val="single" w:color="auto" w:sz="4" w:space="0"/>
              <w:bottom w:val="single" w:color="auto" w:sz="4" w:space="0"/>
              <w:right w:val="single" w:color="auto" w:sz="4" w:space="0"/>
            </w:tcBorders>
            <w:vAlign w:val="center"/>
          </w:tcPr>
          <w:p w14:paraId="37100EC9">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联系方式</w:t>
            </w:r>
          </w:p>
        </w:tc>
        <w:tc>
          <w:tcPr>
            <w:tcW w:w="1112" w:type="dxa"/>
            <w:tcBorders>
              <w:top w:val="single" w:color="auto" w:sz="4" w:space="0"/>
              <w:left w:val="nil"/>
              <w:bottom w:val="single" w:color="auto" w:sz="4" w:space="0"/>
              <w:right w:val="single" w:color="auto" w:sz="4" w:space="0"/>
            </w:tcBorders>
            <w:vAlign w:val="center"/>
          </w:tcPr>
          <w:p w14:paraId="2A5CAD8C">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联系人</w:t>
            </w:r>
          </w:p>
        </w:tc>
        <w:tc>
          <w:tcPr>
            <w:tcW w:w="2423" w:type="dxa"/>
            <w:tcBorders>
              <w:top w:val="single" w:color="auto" w:sz="4" w:space="0"/>
              <w:left w:val="nil"/>
              <w:bottom w:val="single" w:color="auto" w:sz="4" w:space="0"/>
              <w:right w:val="single" w:color="auto" w:sz="4" w:space="0"/>
            </w:tcBorders>
            <w:vAlign w:val="center"/>
          </w:tcPr>
          <w:p w14:paraId="7F48A632">
            <w:pPr>
              <w:keepNext/>
              <w:keepLines/>
              <w:tabs>
                <w:tab w:val="left" w:pos="1021"/>
              </w:tabs>
              <w:spacing w:line="240" w:lineRule="atLeast"/>
              <w:jc w:val="center"/>
              <w:rPr>
                <w:rFonts w:ascii="仿宋" w:hAnsi="仿宋" w:eastAsia="仿宋" w:cs="仿宋"/>
                <w:color w:val="auto"/>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4B07DB25">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929" w:type="dxa"/>
            <w:tcBorders>
              <w:top w:val="single" w:color="auto" w:sz="4" w:space="0"/>
              <w:left w:val="nil"/>
              <w:bottom w:val="single" w:color="auto" w:sz="4" w:space="0"/>
              <w:right w:val="single" w:color="auto" w:sz="4" w:space="0"/>
            </w:tcBorders>
            <w:vAlign w:val="center"/>
          </w:tcPr>
          <w:p w14:paraId="42F121EE">
            <w:pPr>
              <w:keepNext/>
              <w:keepLines/>
              <w:tabs>
                <w:tab w:val="left" w:pos="1021"/>
              </w:tabs>
              <w:spacing w:line="240" w:lineRule="atLeast"/>
              <w:jc w:val="center"/>
              <w:rPr>
                <w:rFonts w:ascii="仿宋" w:hAnsi="仿宋" w:eastAsia="仿宋" w:cs="仿宋"/>
                <w:color w:val="auto"/>
                <w:szCs w:val="21"/>
                <w:highlight w:val="none"/>
              </w:rPr>
            </w:pPr>
          </w:p>
        </w:tc>
      </w:tr>
      <w:tr w14:paraId="000D4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7" w:type="dxa"/>
            <w:vMerge w:val="continue"/>
            <w:tcBorders>
              <w:top w:val="nil"/>
              <w:left w:val="single" w:color="auto" w:sz="4" w:space="0"/>
              <w:bottom w:val="single" w:color="auto" w:sz="4" w:space="0"/>
              <w:right w:val="single" w:color="auto" w:sz="4" w:space="0"/>
            </w:tcBorders>
            <w:vAlign w:val="center"/>
          </w:tcPr>
          <w:p w14:paraId="1C3882FB">
            <w:pPr>
              <w:keepNext/>
              <w:keepLines/>
              <w:tabs>
                <w:tab w:val="left" w:pos="1021"/>
              </w:tabs>
              <w:spacing w:line="240" w:lineRule="atLeast"/>
              <w:jc w:val="center"/>
              <w:rPr>
                <w:rFonts w:ascii="仿宋" w:hAnsi="仿宋" w:eastAsia="仿宋" w:cs="仿宋"/>
                <w:color w:val="auto"/>
                <w:szCs w:val="21"/>
                <w:highlight w:val="none"/>
              </w:rPr>
            </w:pPr>
          </w:p>
        </w:tc>
        <w:tc>
          <w:tcPr>
            <w:tcW w:w="1112" w:type="dxa"/>
            <w:tcBorders>
              <w:top w:val="single" w:color="auto" w:sz="4" w:space="0"/>
              <w:left w:val="nil"/>
              <w:bottom w:val="single" w:color="auto" w:sz="4" w:space="0"/>
              <w:right w:val="single" w:color="auto" w:sz="4" w:space="0"/>
            </w:tcBorders>
            <w:vAlign w:val="center"/>
          </w:tcPr>
          <w:p w14:paraId="3F28CCAB">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网址</w:t>
            </w:r>
          </w:p>
        </w:tc>
        <w:tc>
          <w:tcPr>
            <w:tcW w:w="2423" w:type="dxa"/>
            <w:tcBorders>
              <w:top w:val="single" w:color="auto" w:sz="4" w:space="0"/>
              <w:left w:val="nil"/>
              <w:bottom w:val="single" w:color="auto" w:sz="4" w:space="0"/>
              <w:right w:val="single" w:color="auto" w:sz="4" w:space="0"/>
            </w:tcBorders>
            <w:vAlign w:val="center"/>
          </w:tcPr>
          <w:p w14:paraId="5226FE81">
            <w:pPr>
              <w:keepNext/>
              <w:keepLines/>
              <w:tabs>
                <w:tab w:val="left" w:pos="1021"/>
              </w:tabs>
              <w:spacing w:line="240" w:lineRule="atLeast"/>
              <w:jc w:val="center"/>
              <w:rPr>
                <w:rFonts w:ascii="仿宋" w:hAnsi="仿宋" w:eastAsia="仿宋" w:cs="仿宋"/>
                <w:color w:val="auto"/>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5339A512">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传真</w:t>
            </w:r>
          </w:p>
        </w:tc>
        <w:tc>
          <w:tcPr>
            <w:tcW w:w="1929" w:type="dxa"/>
            <w:tcBorders>
              <w:top w:val="single" w:color="auto" w:sz="4" w:space="0"/>
              <w:left w:val="nil"/>
              <w:bottom w:val="single" w:color="auto" w:sz="4" w:space="0"/>
              <w:right w:val="single" w:color="auto" w:sz="4" w:space="0"/>
            </w:tcBorders>
            <w:vAlign w:val="center"/>
          </w:tcPr>
          <w:p w14:paraId="2B641E5F">
            <w:pPr>
              <w:keepNext/>
              <w:keepLines/>
              <w:tabs>
                <w:tab w:val="left" w:pos="1021"/>
              </w:tabs>
              <w:spacing w:line="240" w:lineRule="atLeast"/>
              <w:jc w:val="center"/>
              <w:rPr>
                <w:rFonts w:ascii="仿宋" w:hAnsi="仿宋" w:eastAsia="仿宋" w:cs="仿宋"/>
                <w:color w:val="auto"/>
                <w:szCs w:val="21"/>
                <w:highlight w:val="none"/>
              </w:rPr>
            </w:pPr>
          </w:p>
        </w:tc>
      </w:tr>
      <w:tr w14:paraId="310DB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7F6DFFA4">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p>
          <w:p w14:paraId="3B120141">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（单位负责人）</w:t>
            </w:r>
          </w:p>
        </w:tc>
        <w:tc>
          <w:tcPr>
            <w:tcW w:w="1112" w:type="dxa"/>
            <w:tcBorders>
              <w:top w:val="single" w:color="auto" w:sz="4" w:space="0"/>
              <w:left w:val="nil"/>
              <w:bottom w:val="single" w:color="auto" w:sz="4" w:space="0"/>
              <w:right w:val="single" w:color="auto" w:sz="4" w:space="0"/>
            </w:tcBorders>
            <w:vAlign w:val="center"/>
          </w:tcPr>
          <w:p w14:paraId="0A71171A">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2423" w:type="dxa"/>
            <w:tcBorders>
              <w:top w:val="single" w:color="auto" w:sz="4" w:space="0"/>
              <w:left w:val="nil"/>
              <w:bottom w:val="single" w:color="auto" w:sz="4" w:space="0"/>
              <w:right w:val="single" w:color="auto" w:sz="4" w:space="0"/>
            </w:tcBorders>
            <w:vAlign w:val="center"/>
          </w:tcPr>
          <w:p w14:paraId="35B5C6E7">
            <w:pPr>
              <w:keepNext/>
              <w:keepLines/>
              <w:tabs>
                <w:tab w:val="left" w:pos="1021"/>
              </w:tabs>
              <w:spacing w:line="240" w:lineRule="atLeast"/>
              <w:jc w:val="center"/>
              <w:rPr>
                <w:rFonts w:ascii="仿宋" w:hAnsi="仿宋" w:eastAsia="仿宋" w:cs="仿宋"/>
                <w:color w:val="auto"/>
                <w:szCs w:val="21"/>
                <w:highlight w:val="none"/>
              </w:rPr>
            </w:pPr>
          </w:p>
        </w:tc>
        <w:tc>
          <w:tcPr>
            <w:tcW w:w="1368" w:type="dxa"/>
            <w:tcBorders>
              <w:top w:val="single" w:color="auto" w:sz="4" w:space="0"/>
              <w:left w:val="nil"/>
              <w:bottom w:val="single" w:color="auto" w:sz="4" w:space="0"/>
              <w:right w:val="single" w:color="auto" w:sz="4" w:space="0"/>
            </w:tcBorders>
            <w:vAlign w:val="center"/>
          </w:tcPr>
          <w:p w14:paraId="5980A27C">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电话</w:t>
            </w:r>
          </w:p>
        </w:tc>
        <w:tc>
          <w:tcPr>
            <w:tcW w:w="1929" w:type="dxa"/>
            <w:tcBorders>
              <w:top w:val="single" w:color="auto" w:sz="4" w:space="0"/>
              <w:left w:val="nil"/>
              <w:bottom w:val="single" w:color="auto" w:sz="4" w:space="0"/>
              <w:right w:val="single" w:color="auto" w:sz="4" w:space="0"/>
            </w:tcBorders>
            <w:vAlign w:val="center"/>
          </w:tcPr>
          <w:p w14:paraId="14085C1D">
            <w:pPr>
              <w:keepNext/>
              <w:keepLines/>
              <w:tabs>
                <w:tab w:val="left" w:pos="1021"/>
              </w:tabs>
              <w:spacing w:line="240" w:lineRule="atLeast"/>
              <w:jc w:val="center"/>
              <w:rPr>
                <w:rFonts w:ascii="仿宋" w:hAnsi="仿宋" w:eastAsia="仿宋" w:cs="仿宋"/>
                <w:color w:val="auto"/>
                <w:szCs w:val="21"/>
                <w:highlight w:val="none"/>
              </w:rPr>
            </w:pPr>
          </w:p>
        </w:tc>
      </w:tr>
      <w:tr w14:paraId="52F3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6D46579F">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基本账户开户银行</w:t>
            </w:r>
          </w:p>
        </w:tc>
        <w:tc>
          <w:tcPr>
            <w:tcW w:w="6832" w:type="dxa"/>
            <w:gridSpan w:val="4"/>
            <w:tcBorders>
              <w:top w:val="single" w:color="auto" w:sz="4" w:space="0"/>
              <w:left w:val="nil"/>
              <w:bottom w:val="single" w:color="auto" w:sz="4" w:space="0"/>
              <w:right w:val="single" w:color="auto" w:sz="4" w:space="0"/>
            </w:tcBorders>
            <w:vAlign w:val="center"/>
          </w:tcPr>
          <w:p w14:paraId="195BA39D">
            <w:pPr>
              <w:keepNext/>
              <w:keepLines/>
              <w:tabs>
                <w:tab w:val="left" w:pos="1021"/>
              </w:tabs>
              <w:spacing w:line="240" w:lineRule="atLeast"/>
              <w:jc w:val="center"/>
              <w:rPr>
                <w:rFonts w:ascii="仿宋" w:hAnsi="仿宋" w:eastAsia="仿宋" w:cs="仿宋"/>
                <w:color w:val="auto"/>
                <w:szCs w:val="21"/>
                <w:highlight w:val="none"/>
              </w:rPr>
            </w:pPr>
          </w:p>
        </w:tc>
      </w:tr>
      <w:tr w14:paraId="2091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0C6FE938">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基本账户银行账号</w:t>
            </w:r>
          </w:p>
        </w:tc>
        <w:tc>
          <w:tcPr>
            <w:tcW w:w="6832" w:type="dxa"/>
            <w:gridSpan w:val="4"/>
            <w:tcBorders>
              <w:top w:val="single" w:color="auto" w:sz="4" w:space="0"/>
              <w:left w:val="nil"/>
              <w:bottom w:val="single" w:color="auto" w:sz="4" w:space="0"/>
              <w:right w:val="single" w:color="auto" w:sz="4" w:space="0"/>
            </w:tcBorders>
            <w:vAlign w:val="center"/>
          </w:tcPr>
          <w:p w14:paraId="6B661676">
            <w:pPr>
              <w:keepNext/>
              <w:keepLines/>
              <w:tabs>
                <w:tab w:val="left" w:pos="1021"/>
              </w:tabs>
              <w:spacing w:line="240" w:lineRule="atLeast"/>
              <w:jc w:val="center"/>
              <w:rPr>
                <w:rFonts w:ascii="仿宋" w:hAnsi="仿宋" w:eastAsia="仿宋" w:cs="仿宋"/>
                <w:color w:val="auto"/>
                <w:szCs w:val="21"/>
                <w:highlight w:val="none"/>
              </w:rPr>
            </w:pPr>
          </w:p>
        </w:tc>
      </w:tr>
      <w:tr w14:paraId="7F28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02CDCEEF">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供应商关联企业情况（包括但不限于与供应商法定代表人（单位负责人）为同一人或者存在控股、管理关系的不同单位）</w:t>
            </w:r>
          </w:p>
        </w:tc>
        <w:tc>
          <w:tcPr>
            <w:tcW w:w="6832" w:type="dxa"/>
            <w:gridSpan w:val="4"/>
            <w:tcBorders>
              <w:top w:val="single" w:color="auto" w:sz="4" w:space="0"/>
              <w:left w:val="nil"/>
              <w:bottom w:val="single" w:color="auto" w:sz="4" w:space="0"/>
              <w:right w:val="single" w:color="auto" w:sz="4" w:space="0"/>
            </w:tcBorders>
            <w:vAlign w:val="center"/>
          </w:tcPr>
          <w:p w14:paraId="2FACA78E">
            <w:pPr>
              <w:keepNext/>
              <w:keepLines/>
              <w:tabs>
                <w:tab w:val="left" w:pos="1021"/>
              </w:tabs>
              <w:spacing w:line="240" w:lineRule="atLeast"/>
              <w:jc w:val="center"/>
              <w:rPr>
                <w:rFonts w:ascii="仿宋" w:hAnsi="仿宋" w:eastAsia="仿宋" w:cs="仿宋"/>
                <w:color w:val="auto"/>
                <w:szCs w:val="21"/>
                <w:highlight w:val="none"/>
              </w:rPr>
            </w:pPr>
          </w:p>
        </w:tc>
      </w:tr>
      <w:tr w14:paraId="46F4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807" w:type="dxa"/>
            <w:tcBorders>
              <w:top w:val="single" w:color="auto" w:sz="4" w:space="0"/>
              <w:left w:val="single" w:color="auto" w:sz="4" w:space="0"/>
              <w:bottom w:val="single" w:color="auto" w:sz="4" w:space="0"/>
              <w:right w:val="single" w:color="auto" w:sz="4" w:space="0"/>
            </w:tcBorders>
            <w:vAlign w:val="center"/>
          </w:tcPr>
          <w:p w14:paraId="3EF4DB24">
            <w:pPr>
              <w:keepNext/>
              <w:keepLines/>
              <w:tabs>
                <w:tab w:val="left" w:pos="1021"/>
              </w:tabs>
              <w:spacing w:line="240" w:lineRule="atLeast"/>
              <w:jc w:val="center"/>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c>
          <w:tcPr>
            <w:tcW w:w="6832" w:type="dxa"/>
            <w:gridSpan w:val="4"/>
            <w:tcBorders>
              <w:top w:val="single" w:color="auto" w:sz="4" w:space="0"/>
              <w:left w:val="nil"/>
              <w:bottom w:val="single" w:color="auto" w:sz="4" w:space="0"/>
              <w:right w:val="single" w:color="auto" w:sz="4" w:space="0"/>
            </w:tcBorders>
            <w:vAlign w:val="center"/>
          </w:tcPr>
          <w:p w14:paraId="641A8EA0">
            <w:pPr>
              <w:keepNext/>
              <w:keepLines/>
              <w:tabs>
                <w:tab w:val="left" w:pos="1021"/>
              </w:tabs>
              <w:spacing w:line="240" w:lineRule="atLeast"/>
              <w:jc w:val="center"/>
              <w:rPr>
                <w:rFonts w:ascii="仿宋" w:hAnsi="仿宋" w:eastAsia="仿宋" w:cs="仿宋"/>
                <w:color w:val="auto"/>
                <w:szCs w:val="21"/>
                <w:highlight w:val="none"/>
              </w:rPr>
            </w:pPr>
          </w:p>
        </w:tc>
      </w:tr>
    </w:tbl>
    <w:p w14:paraId="174C0EC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1. 所附格式要求填写的全部内容都必须填写。</w:t>
      </w:r>
    </w:p>
    <w:p w14:paraId="063CCFD0">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2. 供应商资格声明应保证全部声明和填写的内容是真实的和正确的。</w:t>
      </w:r>
    </w:p>
    <w:p w14:paraId="27C4CE7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 供应商提交的材料将被保密。</w:t>
      </w:r>
    </w:p>
    <w:p w14:paraId="23090616">
      <w:pPr>
        <w:rPr>
          <w:rFonts w:ascii="仿宋" w:hAnsi="仿宋" w:eastAsia="仿宋" w:cs="仿宋"/>
          <w:color w:val="auto"/>
          <w:szCs w:val="28"/>
          <w:highlight w:val="none"/>
        </w:rPr>
      </w:pPr>
      <w:r>
        <w:rPr>
          <w:rFonts w:hint="eastAsia" w:ascii="仿宋" w:hAnsi="仿宋" w:eastAsia="仿宋" w:cs="仿宋"/>
          <w:color w:val="auto"/>
          <w:szCs w:val="28"/>
          <w:highlight w:val="none"/>
        </w:rPr>
        <w:br w:type="page"/>
      </w:r>
    </w:p>
    <w:p w14:paraId="1A83033B">
      <w:pPr>
        <w:pStyle w:val="15"/>
        <w:spacing w:line="360" w:lineRule="auto"/>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格式1-1：</w:t>
      </w:r>
    </w:p>
    <w:p w14:paraId="38E14DD3">
      <w:pPr>
        <w:spacing w:line="360" w:lineRule="auto"/>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资格证明文件</w:t>
      </w:r>
    </w:p>
    <w:p w14:paraId="42E6E470">
      <w:pPr>
        <w:spacing w:line="420" w:lineRule="exact"/>
        <w:ind w:firstLine="420" w:firstLineChars="200"/>
        <w:rPr>
          <w:rFonts w:ascii="仿宋" w:hAnsi="仿宋" w:eastAsia="仿宋" w:cs="仿宋"/>
          <w:bCs/>
          <w:color w:val="auto"/>
          <w:szCs w:val="21"/>
          <w:highlight w:val="none"/>
        </w:rPr>
      </w:pPr>
      <w:bookmarkStart w:id="115" w:name="_Toc28546"/>
      <w:bookmarkStart w:id="116" w:name="_Toc936"/>
      <w:bookmarkStart w:id="117" w:name="_Toc15052"/>
      <w:bookmarkStart w:id="118" w:name="_Toc31691"/>
      <w:bookmarkStart w:id="119" w:name="_Toc29496"/>
      <w:bookmarkStart w:id="120" w:name="_Toc441"/>
      <w:bookmarkStart w:id="121" w:name="_Toc846"/>
      <w:r>
        <w:rPr>
          <w:rFonts w:hint="eastAsia" w:ascii="仿宋" w:hAnsi="仿宋" w:eastAsia="仿宋" w:cs="仿宋"/>
          <w:bCs/>
          <w:color w:val="auto"/>
          <w:szCs w:val="21"/>
          <w:highlight w:val="none"/>
        </w:rPr>
        <w:t>1.满足《中华人民共和国政府采购法》第二十二条规定：</w:t>
      </w:r>
    </w:p>
    <w:p w14:paraId="07B48E81">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 xml:space="preserve">1.1 </w:t>
      </w:r>
      <w:r>
        <w:rPr>
          <w:rFonts w:hint="eastAsia" w:ascii="仿宋" w:hAnsi="仿宋" w:eastAsia="仿宋" w:cs="仿宋"/>
          <w:color w:val="auto"/>
          <w:szCs w:val="21"/>
          <w:highlight w:val="none"/>
        </w:rPr>
        <w:t>具有独立承担民事责任的能力，供应商须在中华人民共和国境内注册：提供法人或者其他组织的营业执照等证明文件</w:t>
      </w:r>
      <w:r>
        <w:rPr>
          <w:rFonts w:hint="eastAsia" w:ascii="仿宋" w:hAnsi="仿宋" w:eastAsia="仿宋" w:cs="仿宋"/>
          <w:bCs/>
          <w:color w:val="auto"/>
          <w:szCs w:val="21"/>
          <w:highlight w:val="none"/>
        </w:rPr>
        <w:t>。</w:t>
      </w:r>
    </w:p>
    <w:p w14:paraId="3B1ED576">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1.2 具有良好的商业信誉和健全的财务会计制度：</w:t>
      </w:r>
    </w:p>
    <w:p w14:paraId="741427FF">
      <w:pPr>
        <w:spacing w:line="360" w:lineRule="auto"/>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1.2.1健全的财务会计制度：提供财务状况报告的相关材料，提供</w:t>
      </w:r>
      <w:r>
        <w:rPr>
          <w:rFonts w:hint="eastAsia" w:ascii="仿宋" w:hAnsi="仿宋" w:eastAsia="仿宋" w:cs="仿宋"/>
          <w:bCs/>
          <w:color w:val="auto"/>
          <w:szCs w:val="21"/>
          <w:highlight w:val="none"/>
          <w:lang w:val="en-US" w:eastAsia="zh-CN"/>
        </w:rPr>
        <w:t>近一年（</w:t>
      </w:r>
      <w:r>
        <w:rPr>
          <w:rFonts w:hint="eastAsia" w:ascii="仿宋" w:hAnsi="仿宋" w:eastAsia="仿宋" w:cs="仿宋"/>
          <w:bCs/>
          <w:color w:val="auto"/>
          <w:szCs w:val="21"/>
          <w:highlight w:val="none"/>
        </w:rPr>
        <w:t>202</w:t>
      </w:r>
      <w:r>
        <w:rPr>
          <w:rFonts w:hint="eastAsia" w:ascii="仿宋" w:hAnsi="仿宋" w:eastAsia="仿宋" w:cs="仿宋"/>
          <w:bCs/>
          <w:color w:val="auto"/>
          <w:szCs w:val="21"/>
          <w:highlight w:val="none"/>
          <w:lang w:val="en-US" w:eastAsia="zh-CN"/>
        </w:rPr>
        <w:t>3</w:t>
      </w:r>
      <w:r>
        <w:rPr>
          <w:rFonts w:hint="eastAsia" w:ascii="仿宋" w:hAnsi="仿宋" w:eastAsia="仿宋" w:cs="仿宋"/>
          <w:bCs/>
          <w:color w:val="auto"/>
          <w:szCs w:val="21"/>
          <w:highlight w:val="none"/>
        </w:rPr>
        <w:t>年度或202</w:t>
      </w:r>
      <w:r>
        <w:rPr>
          <w:rFonts w:hint="eastAsia" w:ascii="仿宋" w:hAnsi="仿宋" w:eastAsia="仿宋" w:cs="仿宋"/>
          <w:bCs/>
          <w:color w:val="auto"/>
          <w:szCs w:val="21"/>
          <w:highlight w:val="none"/>
          <w:lang w:val="en-US" w:eastAsia="zh-CN"/>
        </w:rPr>
        <w:t>4</w:t>
      </w:r>
      <w:r>
        <w:rPr>
          <w:rFonts w:hint="eastAsia" w:ascii="仿宋" w:hAnsi="仿宋" w:eastAsia="仿宋" w:cs="仿宋"/>
          <w:bCs/>
          <w:color w:val="auto"/>
          <w:szCs w:val="21"/>
          <w:highlight w:val="none"/>
        </w:rPr>
        <w:t>年度</w:t>
      </w:r>
      <w:r>
        <w:rPr>
          <w:rFonts w:hint="eastAsia" w:ascii="仿宋" w:hAnsi="仿宋" w:eastAsia="仿宋" w:cs="仿宋"/>
          <w:bCs/>
          <w:color w:val="auto"/>
          <w:szCs w:val="21"/>
          <w:highlight w:val="none"/>
          <w:lang w:val="en-US" w:eastAsia="zh-CN"/>
        </w:rPr>
        <w:t>）</w:t>
      </w:r>
      <w:r>
        <w:rPr>
          <w:rFonts w:hint="eastAsia" w:ascii="仿宋" w:hAnsi="仿宋" w:eastAsia="仿宋" w:cs="仿宋"/>
          <w:bCs/>
          <w:color w:val="auto"/>
          <w:szCs w:val="21"/>
          <w:highlight w:val="none"/>
        </w:rPr>
        <w:t>经第三方审计的审计报告(包括资产负债表、利润表、现金流量表)；供应商成立时间不足一年的或新成立的企业可提供自响应文件提交截止时间前三个月内开户银行出具的资信证明或资金存款证明或其他相关证明材料或说明。</w:t>
      </w:r>
    </w:p>
    <w:p w14:paraId="4ACE5054">
      <w:pPr>
        <w:pStyle w:val="57"/>
        <w:ind w:firstLine="422" w:firstLineChars="201"/>
        <w:jc w:val="both"/>
        <w:rPr>
          <w:rFonts w:ascii="仿宋" w:hAnsi="仿宋" w:eastAsia="仿宋" w:cs="仿宋"/>
          <w:bCs/>
          <w:color w:val="auto"/>
          <w:highlight w:val="none"/>
        </w:rPr>
      </w:pPr>
      <w:r>
        <w:rPr>
          <w:rFonts w:hint="eastAsia" w:ascii="仿宋" w:hAnsi="仿宋" w:eastAsia="仿宋" w:cs="仿宋"/>
          <w:bCs/>
          <w:color w:val="auto"/>
          <w:highlight w:val="none"/>
        </w:rPr>
        <w:t>1.2.2良好的商业信誉：供应商应在“信用中国”网站(www.creditchina.gov.cn)未被列入失信被执行人记录、重大税收违法失信主体、政府采购严重违法失信行为记录名单且在中国政府采购网(www.ccgp.gov.cn)没有政府采购严重违法失信行为记录(被禁止在一定期限内参加政府采购活动但期限届满的除外)，参与本项目的供应商信用查询截止时点：响应文件递交截止当天查询，并提交磋商小组(查询结果以采购人、采购代理机构查询结果为准，并将查询记录留存，供应商无需再提供)。</w:t>
      </w:r>
    </w:p>
    <w:p w14:paraId="0857AAA7">
      <w:pPr>
        <w:spacing w:line="360" w:lineRule="auto"/>
        <w:ind w:firstLine="422" w:firstLineChars="201"/>
        <w:rPr>
          <w:rFonts w:ascii="仿宋" w:hAnsi="仿宋" w:eastAsia="仿宋" w:cs="仿宋"/>
          <w:bCs/>
          <w:color w:val="auto"/>
          <w:szCs w:val="21"/>
          <w:highlight w:val="none"/>
        </w:rPr>
      </w:pPr>
      <w:r>
        <w:rPr>
          <w:rFonts w:hint="eastAsia" w:ascii="仿宋" w:hAnsi="仿宋" w:eastAsia="仿宋" w:cs="仿宋"/>
          <w:bCs/>
          <w:color w:val="auto"/>
          <w:szCs w:val="21"/>
          <w:highlight w:val="none"/>
        </w:rPr>
        <w:t>1.3具备履行合同所必需的设备和专业技术能力（提供声明函或相关证明材料）</w:t>
      </w:r>
    </w:p>
    <w:p w14:paraId="6E1D0D4B">
      <w:pPr>
        <w:spacing w:line="360" w:lineRule="auto"/>
        <w:ind w:firstLine="422" w:firstLineChars="201"/>
        <w:rPr>
          <w:rFonts w:ascii="仿宋" w:hAnsi="仿宋" w:eastAsia="仿宋" w:cs="仿宋"/>
          <w:bCs/>
          <w:color w:val="auto"/>
          <w:szCs w:val="21"/>
          <w:highlight w:val="none"/>
        </w:rPr>
      </w:pPr>
      <w:r>
        <w:rPr>
          <w:rFonts w:hint="eastAsia" w:ascii="仿宋" w:hAnsi="仿宋" w:eastAsia="仿宋" w:cs="仿宋"/>
          <w:bCs/>
          <w:color w:val="auto"/>
          <w:szCs w:val="21"/>
          <w:highlight w:val="none"/>
        </w:rPr>
        <w:t>1.4供应商须具有依法缴纳税收和社会保障资金的良好记录：</w:t>
      </w:r>
    </w:p>
    <w:p w14:paraId="7869B153">
      <w:pPr>
        <w:spacing w:line="360" w:lineRule="auto"/>
        <w:ind w:firstLine="422" w:firstLineChars="201"/>
        <w:rPr>
          <w:rFonts w:ascii="仿宋" w:hAnsi="仿宋" w:eastAsia="仿宋" w:cs="仿宋"/>
          <w:bCs/>
          <w:color w:val="auto"/>
          <w:szCs w:val="21"/>
          <w:highlight w:val="none"/>
        </w:rPr>
      </w:pPr>
      <w:r>
        <w:rPr>
          <w:rFonts w:hint="eastAsia" w:ascii="仿宋" w:hAnsi="仿宋" w:eastAsia="仿宋" w:cs="仿宋"/>
          <w:bCs/>
          <w:color w:val="auto"/>
          <w:szCs w:val="21"/>
          <w:highlight w:val="none"/>
        </w:rPr>
        <w:t>1.4.1缴纳税收：供应商须提供缴税所属时间在2024年</w:t>
      </w:r>
      <w:r>
        <w:rPr>
          <w:rFonts w:hint="eastAsia" w:ascii="仿宋" w:hAnsi="仿宋" w:eastAsia="仿宋" w:cs="仿宋"/>
          <w:bCs/>
          <w:color w:val="auto"/>
          <w:szCs w:val="21"/>
          <w:highlight w:val="none"/>
          <w:lang w:val="en-US" w:eastAsia="zh-CN"/>
        </w:rPr>
        <w:t>7</w:t>
      </w:r>
      <w:r>
        <w:rPr>
          <w:rFonts w:hint="eastAsia" w:ascii="仿宋" w:hAnsi="仿宋" w:eastAsia="仿宋" w:cs="仿宋"/>
          <w:bCs/>
          <w:color w:val="auto"/>
          <w:szCs w:val="21"/>
          <w:highlight w:val="none"/>
        </w:rPr>
        <w:t>月至本项目响应文件提交截止时间前任意2个月的税务局税收通用缴款书或银行电子缴税（费）凭证或税务局出具纳税情况的相关证明。依法免缴的，应提供依法免缴的相关证明文件或说明，新成立的企业提供相关说明。</w:t>
      </w:r>
    </w:p>
    <w:p w14:paraId="6C0DF719">
      <w:pPr>
        <w:spacing w:line="360" w:lineRule="auto"/>
        <w:ind w:firstLine="422" w:firstLineChars="201"/>
        <w:rPr>
          <w:rFonts w:ascii="仿宋" w:hAnsi="仿宋" w:eastAsia="仿宋" w:cs="仿宋"/>
          <w:bCs/>
          <w:color w:val="auto"/>
          <w:szCs w:val="21"/>
          <w:highlight w:val="none"/>
        </w:rPr>
      </w:pPr>
      <w:r>
        <w:rPr>
          <w:rFonts w:hint="eastAsia" w:ascii="仿宋" w:hAnsi="仿宋" w:eastAsia="仿宋" w:cs="仿宋"/>
          <w:bCs/>
          <w:color w:val="auto"/>
          <w:szCs w:val="21"/>
          <w:highlight w:val="none"/>
        </w:rPr>
        <w:t>1.4.2缴纳社会保障资金：供应商须提供缴费所属时间在2024年</w:t>
      </w:r>
      <w:r>
        <w:rPr>
          <w:rFonts w:hint="eastAsia" w:ascii="仿宋" w:hAnsi="仿宋" w:eastAsia="仿宋" w:cs="仿宋"/>
          <w:bCs/>
          <w:color w:val="auto"/>
          <w:szCs w:val="21"/>
          <w:highlight w:val="none"/>
          <w:lang w:val="en-US" w:eastAsia="zh-CN"/>
        </w:rPr>
        <w:t>7</w:t>
      </w:r>
      <w:r>
        <w:rPr>
          <w:rFonts w:hint="eastAsia" w:ascii="仿宋" w:hAnsi="仿宋" w:eastAsia="仿宋" w:cs="仿宋"/>
          <w:bCs/>
          <w:color w:val="auto"/>
          <w:szCs w:val="21"/>
          <w:highlight w:val="none"/>
        </w:rPr>
        <w:t>月至本项目响应文件提交截止时间前任意2个月的社会保险费缴款书或银行电子缴税（费）凭证或社保管理部门出具的有效的缴款证明，依法免缴的，应提供依法免缴的相关证明文件，新成立的企业提供相关说明。</w:t>
      </w:r>
    </w:p>
    <w:p w14:paraId="2847CE53">
      <w:p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t>1.5参与本次采购活动前三年内，在经营活动中没有重大违法记录，提供参加本次采购活动前三年内在经营活动中没有重大违法记录的书面声明。</w:t>
      </w:r>
    </w:p>
    <w:p w14:paraId="20927FBB">
      <w:pPr>
        <w:spacing w:line="420" w:lineRule="exact"/>
        <w:ind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rPr>
        <w:t>2.落实政府采购政策需满足的资格要求：</w:t>
      </w:r>
      <w:r>
        <w:rPr>
          <w:rFonts w:hint="eastAsia" w:ascii="仿宋" w:hAnsi="仿宋" w:eastAsia="仿宋" w:cs="仿宋"/>
          <w:bCs/>
          <w:color w:val="auto"/>
          <w:szCs w:val="21"/>
          <w:highlight w:val="none"/>
          <w:lang w:val="en-US" w:eastAsia="zh-CN"/>
        </w:rPr>
        <w:t>无</w:t>
      </w:r>
    </w:p>
    <w:p w14:paraId="0F3051F6">
      <w:pPr>
        <w:numPr>
          <w:ilvl w:val="0"/>
          <w:numId w:val="5"/>
        </w:numPr>
        <w:ind w:firstLine="211" w:firstLineChars="100"/>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br w:type="page"/>
      </w:r>
    </w:p>
    <w:p w14:paraId="648588BE">
      <w:pPr>
        <w:spacing w:line="500" w:lineRule="exact"/>
        <w:rPr>
          <w:rFonts w:ascii="仿宋" w:hAnsi="仿宋" w:eastAsia="仿宋" w:cs="仿宋"/>
          <w:b/>
          <w:bCs/>
          <w:color w:val="auto"/>
          <w:szCs w:val="21"/>
          <w:highlight w:val="none"/>
        </w:rPr>
      </w:pPr>
      <w:r>
        <w:rPr>
          <w:rFonts w:hint="eastAsia" w:ascii="仿宋" w:hAnsi="仿宋" w:eastAsia="仿宋" w:cs="仿宋"/>
          <w:b/>
          <w:color w:val="auto"/>
          <w:kern w:val="0"/>
          <w:szCs w:val="21"/>
          <w:highlight w:val="none"/>
        </w:rPr>
        <w:t>附件1：中小企业声明函（若是）</w:t>
      </w:r>
      <w:bookmarkEnd w:id="115"/>
      <w:bookmarkEnd w:id="116"/>
      <w:bookmarkEnd w:id="117"/>
      <w:bookmarkEnd w:id="118"/>
      <w:bookmarkEnd w:id="119"/>
      <w:bookmarkEnd w:id="120"/>
      <w:bookmarkEnd w:id="121"/>
    </w:p>
    <w:p w14:paraId="5513EB1F">
      <w:pPr>
        <w:spacing w:line="50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（一）中小企业声明函</w:t>
      </w:r>
    </w:p>
    <w:p w14:paraId="4B285C5F">
      <w:pPr>
        <w:spacing w:line="5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本公司郑重声明，根据《政府采购促进中小企业发展管理办法》（财库﹝2020﹞46 号）的规定，本公司参加</w:t>
      </w:r>
      <w:r>
        <w:rPr>
          <w:rFonts w:hint="eastAsia" w:ascii="仿宋" w:hAnsi="仿宋" w:eastAsia="仿宋" w:cs="仿宋"/>
          <w:bCs/>
          <w:color w:val="auto"/>
          <w:szCs w:val="21"/>
          <w:highlight w:val="none"/>
          <w:u w:val="single"/>
        </w:rPr>
        <w:t>（采购单位名称）</w:t>
      </w:r>
      <w:r>
        <w:rPr>
          <w:rFonts w:hint="eastAsia" w:ascii="仿宋" w:hAnsi="仿宋" w:eastAsia="仿宋" w:cs="仿宋"/>
          <w:bCs/>
          <w:color w:val="auto"/>
          <w:szCs w:val="21"/>
          <w:highlight w:val="none"/>
        </w:rPr>
        <w:t>的</w:t>
      </w:r>
      <w:r>
        <w:rPr>
          <w:rFonts w:hint="eastAsia" w:ascii="仿宋" w:hAnsi="仿宋" w:eastAsia="仿宋" w:cs="仿宋"/>
          <w:color w:val="auto"/>
          <w:szCs w:val="21"/>
          <w:highlight w:val="none"/>
          <w:u w:val="single"/>
        </w:rPr>
        <w:t xml:space="preserve"> （项目名称） </w:t>
      </w:r>
      <w:r>
        <w:rPr>
          <w:rFonts w:hint="eastAsia" w:ascii="仿宋" w:hAnsi="仿宋" w:eastAsia="仿宋" w:cs="仿宋"/>
          <w:bCs/>
          <w:color w:val="auto"/>
          <w:szCs w:val="21"/>
          <w:highlight w:val="none"/>
        </w:rPr>
        <w:t>采购活动，服务全部由符合政策要求的中小企业 承建（承接）。相关企业（含联合体中的中小企业、签订分包意向协议的中小企业）的具体情况如下：</w:t>
      </w:r>
    </w:p>
    <w:p w14:paraId="3AFD68CF">
      <w:pPr>
        <w:numPr>
          <w:ilvl w:val="0"/>
          <w:numId w:val="6"/>
        </w:numPr>
        <w:spacing w:line="5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u w:val="single"/>
        </w:rPr>
        <w:t xml:space="preserve">（标的名称） </w:t>
      </w:r>
      <w:r>
        <w:rPr>
          <w:rFonts w:hint="eastAsia" w:ascii="仿宋" w:hAnsi="仿宋" w:eastAsia="仿宋" w:cs="仿宋"/>
          <w:bCs/>
          <w:color w:val="auto"/>
          <w:szCs w:val="21"/>
          <w:highlight w:val="none"/>
        </w:rPr>
        <w:t>，属于</w:t>
      </w:r>
      <w:r>
        <w:rPr>
          <w:rFonts w:hint="eastAsia" w:ascii="仿宋" w:hAnsi="仿宋" w:eastAsia="仿宋" w:cs="仿宋"/>
          <w:bCs/>
          <w:color w:val="auto"/>
          <w:szCs w:val="21"/>
          <w:highlight w:val="none"/>
          <w:u w:val="single"/>
        </w:rPr>
        <w:t>（采购文件中明确的所属行业）</w:t>
      </w:r>
      <w:r>
        <w:rPr>
          <w:rFonts w:hint="eastAsia" w:ascii="仿宋" w:hAnsi="仿宋" w:eastAsia="仿宋" w:cs="仿宋"/>
          <w:bCs/>
          <w:color w:val="auto"/>
          <w:szCs w:val="21"/>
          <w:highlight w:val="none"/>
        </w:rPr>
        <w:t>； 承建（承接）企业为</w:t>
      </w:r>
      <w:r>
        <w:rPr>
          <w:rFonts w:hint="eastAsia" w:ascii="仿宋" w:hAnsi="仿宋" w:eastAsia="仿宋" w:cs="仿宋"/>
          <w:bCs/>
          <w:color w:val="auto"/>
          <w:szCs w:val="21"/>
          <w:highlight w:val="none"/>
          <w:u w:val="single"/>
        </w:rPr>
        <w:t>（企业名称）</w:t>
      </w:r>
      <w:r>
        <w:rPr>
          <w:rFonts w:hint="eastAsia" w:ascii="仿宋" w:hAnsi="仿宋" w:eastAsia="仿宋" w:cs="仿宋"/>
          <w:bCs/>
          <w:color w:val="auto"/>
          <w:szCs w:val="21"/>
          <w:highlight w:val="none"/>
        </w:rPr>
        <w:t>，从业人员人，营业收入为万元，资产总额为万元，属于</w:t>
      </w:r>
      <w:r>
        <w:rPr>
          <w:rFonts w:hint="eastAsia" w:ascii="仿宋" w:hAnsi="仿宋" w:eastAsia="仿宋" w:cs="仿宋"/>
          <w:bCs/>
          <w:color w:val="auto"/>
          <w:szCs w:val="21"/>
          <w:highlight w:val="none"/>
          <w:u w:val="single"/>
        </w:rPr>
        <w:t>（中型企业、 小型企业、微型企业）</w:t>
      </w:r>
      <w:r>
        <w:rPr>
          <w:rFonts w:hint="eastAsia" w:ascii="仿宋" w:hAnsi="仿宋" w:eastAsia="仿宋" w:cs="仿宋"/>
          <w:bCs/>
          <w:color w:val="auto"/>
          <w:szCs w:val="21"/>
          <w:highlight w:val="none"/>
        </w:rPr>
        <w:t>；</w:t>
      </w:r>
    </w:p>
    <w:p w14:paraId="4CFE3442">
      <w:pPr>
        <w:spacing w:line="5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w:t>
      </w:r>
    </w:p>
    <w:p w14:paraId="1980ACBC">
      <w:pPr>
        <w:spacing w:line="5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以上企业，不属于大企业的分支机构，不存在控股股东为大企业的情形，也不存在与大企业的负责人为同一人的情形。</w:t>
      </w:r>
    </w:p>
    <w:p w14:paraId="5E988C8E">
      <w:pPr>
        <w:spacing w:line="500" w:lineRule="exact"/>
        <w:ind w:firstLine="420" w:firstLineChars="200"/>
        <w:jc w:val="left"/>
        <w:rPr>
          <w:rFonts w:ascii="仿宋" w:hAnsi="仿宋" w:eastAsia="仿宋" w:cs="仿宋"/>
          <w:bCs/>
          <w:color w:val="auto"/>
          <w:szCs w:val="21"/>
          <w:highlight w:val="none"/>
        </w:rPr>
      </w:pPr>
      <w:r>
        <w:rPr>
          <w:rFonts w:hint="eastAsia" w:ascii="仿宋" w:hAnsi="仿宋" w:eastAsia="仿宋" w:cs="仿宋"/>
          <w:bCs/>
          <w:color w:val="auto"/>
          <w:szCs w:val="21"/>
          <w:highlight w:val="none"/>
        </w:rPr>
        <w:t xml:space="preserve">本企业对上述声明内容的真实性负责。如有虚假，将依法承担相应责任。 </w:t>
      </w:r>
    </w:p>
    <w:p w14:paraId="0DB77898">
      <w:pPr>
        <w:spacing w:line="360" w:lineRule="auto"/>
        <w:rPr>
          <w:rFonts w:ascii="仿宋" w:hAnsi="仿宋" w:eastAsia="仿宋" w:cs="仿宋"/>
          <w:color w:val="auto"/>
          <w:szCs w:val="21"/>
          <w:highlight w:val="none"/>
        </w:rPr>
      </w:pPr>
    </w:p>
    <w:p w14:paraId="4635CBC1">
      <w:pPr>
        <w:spacing w:line="360" w:lineRule="auto"/>
        <w:ind w:firstLine="2520" w:firstLineChars="1200"/>
        <w:rPr>
          <w:rFonts w:ascii="仿宋" w:hAnsi="仿宋" w:eastAsia="仿宋" w:cs="仿宋"/>
          <w:color w:val="auto"/>
          <w:szCs w:val="21"/>
          <w:highlight w:val="none"/>
        </w:rPr>
      </w:pPr>
    </w:p>
    <w:p w14:paraId="1CE286A3">
      <w:pPr>
        <w:spacing w:line="360" w:lineRule="auto"/>
        <w:ind w:firstLine="2520" w:firstLineChars="1200"/>
        <w:rPr>
          <w:rFonts w:ascii="仿宋" w:hAnsi="仿宋" w:eastAsia="仿宋" w:cs="仿宋"/>
          <w:color w:val="auto"/>
          <w:szCs w:val="21"/>
          <w:highlight w:val="none"/>
        </w:rPr>
      </w:pPr>
    </w:p>
    <w:p w14:paraId="7C5D081B">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（全称）（盖单位公章）</w:t>
      </w:r>
    </w:p>
    <w:p w14:paraId="36C4BEE6">
      <w:pPr>
        <w:spacing w:line="360" w:lineRule="auto"/>
        <w:ind w:firstLine="2520" w:firstLineChars="1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法定代表人（或委托代理人）：</w:t>
      </w:r>
      <w:r>
        <w:rPr>
          <w:rFonts w:hint="eastAsia" w:ascii="仿宋" w:hAnsi="仿宋" w:eastAsia="仿宋" w:cs="仿宋"/>
          <w:color w:val="auto"/>
          <w:szCs w:val="21"/>
          <w:highlight w:val="none"/>
          <w:u w:val="single"/>
        </w:rPr>
        <w:t xml:space="preserve">       （签字或盖章）</w:t>
      </w:r>
    </w:p>
    <w:p w14:paraId="05ECB8E4">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日期：年月日</w:t>
      </w:r>
    </w:p>
    <w:p w14:paraId="03C68118">
      <w:pPr>
        <w:spacing w:line="360" w:lineRule="auto"/>
        <w:ind w:left="380"/>
        <w:rPr>
          <w:rFonts w:ascii="仿宋" w:hAnsi="仿宋" w:eastAsia="仿宋" w:cs="仿宋"/>
          <w:color w:val="auto"/>
          <w:szCs w:val="21"/>
          <w:highlight w:val="none"/>
        </w:rPr>
      </w:pPr>
    </w:p>
    <w:p w14:paraId="22220E9B">
      <w:pPr>
        <w:pStyle w:val="2"/>
        <w:rPr>
          <w:rFonts w:ascii="仿宋" w:hAnsi="仿宋" w:eastAsia="仿宋" w:cs="仿宋"/>
          <w:color w:val="auto"/>
          <w:szCs w:val="21"/>
          <w:highlight w:val="none"/>
        </w:rPr>
      </w:pPr>
    </w:p>
    <w:p w14:paraId="1C01A651">
      <w:pPr>
        <w:pStyle w:val="13"/>
        <w:ind w:left="1680"/>
        <w:rPr>
          <w:rFonts w:ascii="仿宋" w:hAnsi="仿宋" w:eastAsia="仿宋" w:cs="仿宋"/>
          <w:color w:val="auto"/>
          <w:szCs w:val="21"/>
          <w:highlight w:val="none"/>
        </w:rPr>
      </w:pPr>
    </w:p>
    <w:p w14:paraId="3467CDF7">
      <w:pPr>
        <w:rPr>
          <w:rFonts w:ascii="仿宋" w:hAnsi="仿宋" w:eastAsia="仿宋" w:cs="仿宋"/>
          <w:color w:val="auto"/>
          <w:szCs w:val="21"/>
          <w:highlight w:val="none"/>
        </w:rPr>
        <w:sectPr>
          <w:headerReference r:id="rId8" w:type="default"/>
          <w:footerReference r:id="rId9" w:type="default"/>
          <w:pgSz w:w="11906" w:h="16838"/>
          <w:pgMar w:top="1440" w:right="1080" w:bottom="1440" w:left="1080" w:header="850" w:footer="992" w:gutter="0"/>
          <w:pgNumType w:fmt="decimal"/>
          <w:cols w:space="720" w:num="1"/>
          <w:docGrid w:type="lines" w:linePitch="312" w:charSpace="0"/>
        </w:sectPr>
      </w:pPr>
      <w:r>
        <w:rPr>
          <w:rFonts w:hint="eastAsia" w:ascii="仿宋" w:hAnsi="仿宋" w:eastAsia="仿宋" w:cs="仿宋"/>
          <w:color w:val="auto"/>
          <w:szCs w:val="21"/>
          <w:highlight w:val="none"/>
        </w:rPr>
        <w:t>注：(1）</w:t>
      </w:r>
      <w:r>
        <w:rPr>
          <w:rFonts w:hint="eastAsia" w:ascii="仿宋" w:hAnsi="仿宋" w:eastAsia="仿宋" w:cs="仿宋"/>
          <w:b/>
          <w:bCs/>
          <w:color w:val="auto"/>
          <w:szCs w:val="21"/>
          <w:highlight w:val="none"/>
        </w:rPr>
        <w:t>本项目不专门面向中小微企业采购，供应商根据自身情况提供书面声明函</w:t>
      </w:r>
      <w:r>
        <w:rPr>
          <w:rFonts w:hint="eastAsia" w:ascii="仿宋" w:hAnsi="仿宋" w:eastAsia="仿宋" w:cs="仿宋"/>
          <w:color w:val="auto"/>
          <w:szCs w:val="21"/>
          <w:highlight w:val="none"/>
        </w:rPr>
        <w:t>（2）从业人员、营业收入、资产总额填报上一年度数据，无上一年度数据的新成立企业可不填报。（3）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Pr>
          <w:rFonts w:hint="eastAsia" w:ascii="仿宋" w:hAnsi="仿宋" w:eastAsia="仿宋" w:cs="仿宋"/>
          <w:b/>
          <w:bCs/>
          <w:color w:val="auto"/>
          <w:szCs w:val="21"/>
          <w:highlight w:val="none"/>
        </w:rPr>
        <w:t>本项目属于租赁和商业服务业。</w:t>
      </w:r>
      <w:r>
        <w:rPr>
          <w:rFonts w:hint="eastAsia" w:ascii="仿宋" w:hAnsi="仿宋" w:eastAsia="仿宋" w:cs="仿宋"/>
          <w:color w:val="auto"/>
          <w:szCs w:val="21"/>
          <w:highlight w:val="none"/>
        </w:rPr>
        <w:t>（4）中小企业应当按照《政府采购促进中小企业发展管理办法》（财库〔2020〕46号）规定和国家统计局关于印发《统计上大中小微型企业划分办法（2017）》的通知（国统字[2017]213号)，如实填写并提交《中小企业声明函》。</w:t>
      </w:r>
    </w:p>
    <w:p w14:paraId="2CA7931C">
      <w:pPr>
        <w:widowControl/>
        <w:spacing w:line="40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附表</w:t>
      </w:r>
    </w:p>
    <w:p w14:paraId="0C7EDFEA">
      <w:pPr>
        <w:widowControl/>
        <w:spacing w:line="330" w:lineRule="atLeas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统计上大中小微型企业划分标准</w:t>
      </w:r>
    </w:p>
    <w:tbl>
      <w:tblPr>
        <w:tblStyle w:val="27"/>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485"/>
        <w:gridCol w:w="593"/>
        <w:gridCol w:w="1125"/>
        <w:gridCol w:w="1701"/>
        <w:gridCol w:w="1426"/>
        <w:gridCol w:w="992"/>
      </w:tblGrid>
      <w:tr w14:paraId="0A80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7CEEB779">
            <w:pPr>
              <w:widowControl/>
              <w:spacing w:line="240" w:lineRule="exact"/>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行业名称</w:t>
            </w:r>
          </w:p>
        </w:tc>
        <w:tc>
          <w:tcPr>
            <w:tcW w:w="1485" w:type="dxa"/>
            <w:vAlign w:val="center"/>
          </w:tcPr>
          <w:p w14:paraId="7B36B443">
            <w:pPr>
              <w:widowControl/>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指标名称</w:t>
            </w:r>
          </w:p>
        </w:tc>
        <w:tc>
          <w:tcPr>
            <w:tcW w:w="593" w:type="dxa"/>
            <w:vAlign w:val="center"/>
          </w:tcPr>
          <w:p w14:paraId="20195A9F">
            <w:pPr>
              <w:widowControl/>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计量</w:t>
            </w:r>
          </w:p>
          <w:p w14:paraId="25493456">
            <w:pPr>
              <w:widowControl/>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单位</w:t>
            </w:r>
          </w:p>
        </w:tc>
        <w:tc>
          <w:tcPr>
            <w:tcW w:w="1125" w:type="dxa"/>
            <w:vAlign w:val="center"/>
          </w:tcPr>
          <w:p w14:paraId="3750E430">
            <w:pPr>
              <w:widowControl/>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大型</w:t>
            </w:r>
          </w:p>
        </w:tc>
        <w:tc>
          <w:tcPr>
            <w:tcW w:w="1701" w:type="dxa"/>
            <w:vAlign w:val="center"/>
          </w:tcPr>
          <w:p w14:paraId="056D6420">
            <w:pPr>
              <w:widowControl/>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中型</w:t>
            </w:r>
          </w:p>
        </w:tc>
        <w:tc>
          <w:tcPr>
            <w:tcW w:w="1426" w:type="dxa"/>
            <w:vAlign w:val="center"/>
          </w:tcPr>
          <w:p w14:paraId="4ADB209A">
            <w:pPr>
              <w:widowControl/>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小型</w:t>
            </w:r>
          </w:p>
        </w:tc>
        <w:tc>
          <w:tcPr>
            <w:tcW w:w="992" w:type="dxa"/>
            <w:vAlign w:val="center"/>
          </w:tcPr>
          <w:p w14:paraId="0AB8A468">
            <w:pPr>
              <w:widowControl/>
              <w:jc w:val="center"/>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微型</w:t>
            </w:r>
          </w:p>
        </w:tc>
      </w:tr>
      <w:tr w14:paraId="66FC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6037D498">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农、林、牧、渔业</w:t>
            </w:r>
          </w:p>
        </w:tc>
        <w:tc>
          <w:tcPr>
            <w:tcW w:w="1485" w:type="dxa"/>
            <w:vAlign w:val="center"/>
          </w:tcPr>
          <w:p w14:paraId="30100ECD">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5CA18330">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57C6E072">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Y≥20000</w:t>
            </w:r>
          </w:p>
        </w:tc>
        <w:tc>
          <w:tcPr>
            <w:tcW w:w="1701" w:type="dxa"/>
            <w:vAlign w:val="center"/>
          </w:tcPr>
          <w:p w14:paraId="1C65980D">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500≤Y＜20000</w:t>
            </w:r>
          </w:p>
        </w:tc>
        <w:tc>
          <w:tcPr>
            <w:tcW w:w="1426" w:type="dxa"/>
            <w:vAlign w:val="center"/>
          </w:tcPr>
          <w:p w14:paraId="19A7D90F">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50≤Y＜500</w:t>
            </w:r>
          </w:p>
        </w:tc>
        <w:tc>
          <w:tcPr>
            <w:tcW w:w="992" w:type="dxa"/>
            <w:vAlign w:val="center"/>
          </w:tcPr>
          <w:p w14:paraId="7DA448F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Y＜50</w:t>
            </w:r>
          </w:p>
        </w:tc>
      </w:tr>
      <w:tr w14:paraId="07AB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E9020FB">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工业 *</w:t>
            </w:r>
          </w:p>
        </w:tc>
        <w:tc>
          <w:tcPr>
            <w:tcW w:w="1485" w:type="dxa"/>
            <w:vAlign w:val="center"/>
          </w:tcPr>
          <w:p w14:paraId="58F00E2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019F8F3D">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36E27148">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701" w:type="dxa"/>
            <w:vAlign w:val="center"/>
          </w:tcPr>
          <w:p w14:paraId="6E9C93C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426" w:type="dxa"/>
            <w:vAlign w:val="center"/>
          </w:tcPr>
          <w:p w14:paraId="5E72F26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20≤X＜300</w:t>
            </w:r>
          </w:p>
        </w:tc>
        <w:tc>
          <w:tcPr>
            <w:tcW w:w="992" w:type="dxa"/>
            <w:vAlign w:val="center"/>
          </w:tcPr>
          <w:p w14:paraId="1EACDF3A">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14:paraId="35F4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2113" w:type="dxa"/>
            <w:vMerge w:val="continue"/>
            <w:vAlign w:val="center"/>
          </w:tcPr>
          <w:p w14:paraId="4ACBDED5">
            <w:pPr>
              <w:widowControl/>
              <w:jc w:val="left"/>
              <w:rPr>
                <w:rFonts w:ascii="仿宋" w:hAnsi="仿宋" w:eastAsia="仿宋" w:cs="仿宋"/>
                <w:color w:val="auto"/>
                <w:kern w:val="0"/>
                <w:szCs w:val="21"/>
                <w:highlight w:val="none"/>
              </w:rPr>
            </w:pPr>
          </w:p>
        </w:tc>
        <w:tc>
          <w:tcPr>
            <w:tcW w:w="1485" w:type="dxa"/>
            <w:vAlign w:val="center"/>
          </w:tcPr>
          <w:p w14:paraId="53A742DE">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4C1FDEFF">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78B575A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Y≥40000</w:t>
            </w:r>
          </w:p>
        </w:tc>
        <w:tc>
          <w:tcPr>
            <w:tcW w:w="1701" w:type="dxa"/>
            <w:vAlign w:val="center"/>
          </w:tcPr>
          <w:p w14:paraId="65069A05">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2000≤Y＜40000</w:t>
            </w:r>
          </w:p>
        </w:tc>
        <w:tc>
          <w:tcPr>
            <w:tcW w:w="1426" w:type="dxa"/>
            <w:vAlign w:val="center"/>
          </w:tcPr>
          <w:p w14:paraId="63A19DC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300≤Y＜2000</w:t>
            </w:r>
          </w:p>
        </w:tc>
        <w:tc>
          <w:tcPr>
            <w:tcW w:w="992" w:type="dxa"/>
            <w:vAlign w:val="center"/>
          </w:tcPr>
          <w:p w14:paraId="2E981A8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Y＜300</w:t>
            </w:r>
          </w:p>
        </w:tc>
      </w:tr>
      <w:tr w14:paraId="79B46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7052657">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建筑业</w:t>
            </w:r>
          </w:p>
        </w:tc>
        <w:tc>
          <w:tcPr>
            <w:tcW w:w="1485" w:type="dxa"/>
            <w:vAlign w:val="center"/>
          </w:tcPr>
          <w:p w14:paraId="0A2AA83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7FBD59CB">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4565D0D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Y≥80000</w:t>
            </w:r>
          </w:p>
        </w:tc>
        <w:tc>
          <w:tcPr>
            <w:tcW w:w="1701" w:type="dxa"/>
            <w:vAlign w:val="center"/>
          </w:tcPr>
          <w:p w14:paraId="1A15D822">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6000≤Y＜80000</w:t>
            </w:r>
          </w:p>
        </w:tc>
        <w:tc>
          <w:tcPr>
            <w:tcW w:w="1426" w:type="dxa"/>
            <w:vAlign w:val="center"/>
          </w:tcPr>
          <w:p w14:paraId="1707258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300≤Y＜6000</w:t>
            </w:r>
          </w:p>
        </w:tc>
        <w:tc>
          <w:tcPr>
            <w:tcW w:w="992" w:type="dxa"/>
            <w:vAlign w:val="center"/>
          </w:tcPr>
          <w:p w14:paraId="6F8A75F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Y＜300</w:t>
            </w:r>
          </w:p>
        </w:tc>
      </w:tr>
      <w:tr w14:paraId="19DF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07E34DE">
            <w:pPr>
              <w:widowControl/>
              <w:jc w:val="left"/>
              <w:rPr>
                <w:rFonts w:ascii="仿宋" w:hAnsi="仿宋" w:eastAsia="仿宋" w:cs="仿宋"/>
                <w:color w:val="auto"/>
                <w:kern w:val="0"/>
                <w:szCs w:val="21"/>
                <w:highlight w:val="none"/>
              </w:rPr>
            </w:pPr>
          </w:p>
        </w:tc>
        <w:tc>
          <w:tcPr>
            <w:tcW w:w="1485" w:type="dxa"/>
            <w:vAlign w:val="center"/>
          </w:tcPr>
          <w:p w14:paraId="77D8441D">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资产总额(Z)</w:t>
            </w:r>
          </w:p>
        </w:tc>
        <w:tc>
          <w:tcPr>
            <w:tcW w:w="593" w:type="dxa"/>
            <w:vAlign w:val="center"/>
          </w:tcPr>
          <w:p w14:paraId="092EDA6B">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4622C17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Z≥80000</w:t>
            </w:r>
          </w:p>
        </w:tc>
        <w:tc>
          <w:tcPr>
            <w:tcW w:w="1701" w:type="dxa"/>
            <w:vAlign w:val="center"/>
          </w:tcPr>
          <w:p w14:paraId="4C55A15C">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5000≤Z＜80000</w:t>
            </w:r>
          </w:p>
        </w:tc>
        <w:tc>
          <w:tcPr>
            <w:tcW w:w="1426" w:type="dxa"/>
            <w:vAlign w:val="center"/>
          </w:tcPr>
          <w:p w14:paraId="7CDC463A">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300≤Z＜5000</w:t>
            </w:r>
          </w:p>
        </w:tc>
        <w:tc>
          <w:tcPr>
            <w:tcW w:w="992" w:type="dxa"/>
            <w:vAlign w:val="center"/>
          </w:tcPr>
          <w:p w14:paraId="4F0A34A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Z＜300</w:t>
            </w:r>
          </w:p>
        </w:tc>
      </w:tr>
      <w:tr w14:paraId="2EC7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EA415E0">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批发业</w:t>
            </w:r>
          </w:p>
        </w:tc>
        <w:tc>
          <w:tcPr>
            <w:tcW w:w="1485" w:type="dxa"/>
            <w:vAlign w:val="center"/>
          </w:tcPr>
          <w:p w14:paraId="4C5C19FC">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3A434C04">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73ABB00A">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X≥200</w:t>
            </w:r>
          </w:p>
        </w:tc>
        <w:tc>
          <w:tcPr>
            <w:tcW w:w="1701" w:type="dxa"/>
            <w:vAlign w:val="center"/>
          </w:tcPr>
          <w:p w14:paraId="2DB44E86">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20≤X＜200</w:t>
            </w:r>
          </w:p>
        </w:tc>
        <w:tc>
          <w:tcPr>
            <w:tcW w:w="1426" w:type="dxa"/>
            <w:vAlign w:val="center"/>
          </w:tcPr>
          <w:p w14:paraId="1934DA1B">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5≤X＜20</w:t>
            </w:r>
          </w:p>
        </w:tc>
        <w:tc>
          <w:tcPr>
            <w:tcW w:w="992" w:type="dxa"/>
            <w:vAlign w:val="center"/>
          </w:tcPr>
          <w:p w14:paraId="480D192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X＜5</w:t>
            </w:r>
          </w:p>
        </w:tc>
      </w:tr>
      <w:tr w14:paraId="716B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4D38B3E">
            <w:pPr>
              <w:widowControl/>
              <w:jc w:val="left"/>
              <w:rPr>
                <w:rFonts w:ascii="仿宋" w:hAnsi="仿宋" w:eastAsia="仿宋" w:cs="仿宋"/>
                <w:color w:val="auto"/>
                <w:kern w:val="0"/>
                <w:szCs w:val="21"/>
                <w:highlight w:val="none"/>
              </w:rPr>
            </w:pPr>
          </w:p>
        </w:tc>
        <w:tc>
          <w:tcPr>
            <w:tcW w:w="1485" w:type="dxa"/>
            <w:vAlign w:val="center"/>
          </w:tcPr>
          <w:p w14:paraId="4981314F">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05CF090E">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5501009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Y≥40000</w:t>
            </w:r>
          </w:p>
        </w:tc>
        <w:tc>
          <w:tcPr>
            <w:tcW w:w="1701" w:type="dxa"/>
            <w:vAlign w:val="center"/>
          </w:tcPr>
          <w:p w14:paraId="055BCC67">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5000≤Y＜40000</w:t>
            </w:r>
          </w:p>
        </w:tc>
        <w:tc>
          <w:tcPr>
            <w:tcW w:w="1426" w:type="dxa"/>
            <w:vAlign w:val="center"/>
          </w:tcPr>
          <w:p w14:paraId="349291EC">
            <w:pPr>
              <w:widowControl/>
              <w:ind w:left="-1" w:leftChars="-1" w:hanging="1"/>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1000≤Y＜5000</w:t>
            </w:r>
          </w:p>
        </w:tc>
        <w:tc>
          <w:tcPr>
            <w:tcW w:w="992" w:type="dxa"/>
            <w:vAlign w:val="center"/>
          </w:tcPr>
          <w:p w14:paraId="1A574BD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Y＜1000</w:t>
            </w:r>
          </w:p>
        </w:tc>
      </w:tr>
      <w:tr w14:paraId="6217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8D4D6BE">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零售业</w:t>
            </w:r>
          </w:p>
        </w:tc>
        <w:tc>
          <w:tcPr>
            <w:tcW w:w="1485" w:type="dxa"/>
            <w:vAlign w:val="center"/>
          </w:tcPr>
          <w:p w14:paraId="7E666DC5">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517DBF9C">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4688A55A">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701" w:type="dxa"/>
            <w:vAlign w:val="center"/>
          </w:tcPr>
          <w:p w14:paraId="368ABDF7">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50≤X＜300</w:t>
            </w:r>
          </w:p>
        </w:tc>
        <w:tc>
          <w:tcPr>
            <w:tcW w:w="1426" w:type="dxa"/>
            <w:vAlign w:val="center"/>
          </w:tcPr>
          <w:p w14:paraId="547C756C">
            <w:pPr>
              <w:widowControl/>
              <w:ind w:left="-1" w:leftChars="-1" w:hanging="1"/>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10≤X＜50 </w:t>
            </w:r>
          </w:p>
        </w:tc>
        <w:tc>
          <w:tcPr>
            <w:tcW w:w="992" w:type="dxa"/>
            <w:vAlign w:val="center"/>
          </w:tcPr>
          <w:p w14:paraId="01F32AF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5863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1A2A893">
            <w:pPr>
              <w:widowControl/>
              <w:jc w:val="left"/>
              <w:rPr>
                <w:rFonts w:ascii="仿宋" w:hAnsi="仿宋" w:eastAsia="仿宋" w:cs="仿宋"/>
                <w:color w:val="auto"/>
                <w:kern w:val="0"/>
                <w:szCs w:val="21"/>
                <w:highlight w:val="none"/>
              </w:rPr>
            </w:pPr>
          </w:p>
        </w:tc>
        <w:tc>
          <w:tcPr>
            <w:tcW w:w="1485" w:type="dxa"/>
            <w:vAlign w:val="center"/>
          </w:tcPr>
          <w:p w14:paraId="0A202EFE">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4E642C45">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08604C5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Y≥20000</w:t>
            </w:r>
          </w:p>
        </w:tc>
        <w:tc>
          <w:tcPr>
            <w:tcW w:w="1701" w:type="dxa"/>
            <w:vAlign w:val="center"/>
          </w:tcPr>
          <w:p w14:paraId="6C8B8B2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500≤Y＜20000</w:t>
            </w:r>
          </w:p>
        </w:tc>
        <w:tc>
          <w:tcPr>
            <w:tcW w:w="1426" w:type="dxa"/>
            <w:vAlign w:val="center"/>
          </w:tcPr>
          <w:p w14:paraId="7D019C11">
            <w:pPr>
              <w:widowControl/>
              <w:ind w:left="-1" w:leftChars="-1" w:hanging="1"/>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100≤Y＜500 </w:t>
            </w:r>
          </w:p>
        </w:tc>
        <w:tc>
          <w:tcPr>
            <w:tcW w:w="992" w:type="dxa"/>
            <w:vAlign w:val="center"/>
          </w:tcPr>
          <w:p w14:paraId="21A2599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37AA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D680BE8">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交通运输业 *</w:t>
            </w:r>
          </w:p>
        </w:tc>
        <w:tc>
          <w:tcPr>
            <w:tcW w:w="1485" w:type="dxa"/>
            <w:vAlign w:val="center"/>
          </w:tcPr>
          <w:p w14:paraId="091F870A">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60D935DE">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6D14C9DF">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701" w:type="dxa"/>
            <w:vAlign w:val="center"/>
          </w:tcPr>
          <w:p w14:paraId="3D951916">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426" w:type="dxa"/>
            <w:vAlign w:val="center"/>
          </w:tcPr>
          <w:p w14:paraId="324ED698">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20≤X＜300</w:t>
            </w:r>
          </w:p>
        </w:tc>
        <w:tc>
          <w:tcPr>
            <w:tcW w:w="992" w:type="dxa"/>
            <w:vAlign w:val="center"/>
          </w:tcPr>
          <w:p w14:paraId="28A9644F">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14:paraId="7C3F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E981DE2">
            <w:pPr>
              <w:widowControl/>
              <w:jc w:val="left"/>
              <w:rPr>
                <w:rFonts w:ascii="仿宋" w:hAnsi="仿宋" w:eastAsia="仿宋" w:cs="仿宋"/>
                <w:color w:val="auto"/>
                <w:kern w:val="0"/>
                <w:szCs w:val="21"/>
                <w:highlight w:val="none"/>
              </w:rPr>
            </w:pPr>
          </w:p>
        </w:tc>
        <w:tc>
          <w:tcPr>
            <w:tcW w:w="1485" w:type="dxa"/>
            <w:vAlign w:val="center"/>
          </w:tcPr>
          <w:p w14:paraId="67A6408A">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202E4304">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6AC8233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Y≥30000</w:t>
            </w:r>
          </w:p>
        </w:tc>
        <w:tc>
          <w:tcPr>
            <w:tcW w:w="1701" w:type="dxa"/>
            <w:vAlign w:val="center"/>
          </w:tcPr>
          <w:p w14:paraId="645C98BF">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3000≤Y＜30000</w:t>
            </w:r>
          </w:p>
        </w:tc>
        <w:tc>
          <w:tcPr>
            <w:tcW w:w="1426" w:type="dxa"/>
            <w:vAlign w:val="center"/>
          </w:tcPr>
          <w:p w14:paraId="454CEB7C">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200≤Y＜3000</w:t>
            </w:r>
          </w:p>
        </w:tc>
        <w:tc>
          <w:tcPr>
            <w:tcW w:w="992" w:type="dxa"/>
            <w:vAlign w:val="center"/>
          </w:tcPr>
          <w:p w14:paraId="4C96A7D5">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Y＜200</w:t>
            </w:r>
          </w:p>
        </w:tc>
      </w:tr>
      <w:tr w14:paraId="5F5A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FACAE84">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仓储业*</w:t>
            </w:r>
          </w:p>
        </w:tc>
        <w:tc>
          <w:tcPr>
            <w:tcW w:w="1485" w:type="dxa"/>
            <w:vAlign w:val="center"/>
          </w:tcPr>
          <w:p w14:paraId="057AC91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27E2968C">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46355CF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X≥200</w:t>
            </w:r>
          </w:p>
        </w:tc>
        <w:tc>
          <w:tcPr>
            <w:tcW w:w="1701" w:type="dxa"/>
            <w:vAlign w:val="center"/>
          </w:tcPr>
          <w:p w14:paraId="39A38CA6">
            <w:pPr>
              <w:widowControl/>
              <w:ind w:left="19" w:leftChars="-51" w:hanging="126" w:hangingChars="6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100≤X＜200</w:t>
            </w:r>
          </w:p>
        </w:tc>
        <w:tc>
          <w:tcPr>
            <w:tcW w:w="1426" w:type="dxa"/>
            <w:vAlign w:val="center"/>
          </w:tcPr>
          <w:p w14:paraId="3316999F">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20≤X＜100</w:t>
            </w:r>
          </w:p>
        </w:tc>
        <w:tc>
          <w:tcPr>
            <w:tcW w:w="992" w:type="dxa"/>
            <w:vAlign w:val="center"/>
          </w:tcPr>
          <w:p w14:paraId="42E12F28">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14:paraId="7D5B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F14D0DB">
            <w:pPr>
              <w:widowControl/>
              <w:jc w:val="left"/>
              <w:rPr>
                <w:rFonts w:ascii="仿宋" w:hAnsi="仿宋" w:eastAsia="仿宋" w:cs="仿宋"/>
                <w:color w:val="auto"/>
                <w:kern w:val="0"/>
                <w:szCs w:val="21"/>
                <w:highlight w:val="none"/>
              </w:rPr>
            </w:pPr>
          </w:p>
        </w:tc>
        <w:tc>
          <w:tcPr>
            <w:tcW w:w="1485" w:type="dxa"/>
            <w:vAlign w:val="center"/>
          </w:tcPr>
          <w:p w14:paraId="46B1338D">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0855FA5C">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069961CB">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Y≥30000</w:t>
            </w:r>
          </w:p>
        </w:tc>
        <w:tc>
          <w:tcPr>
            <w:tcW w:w="1701" w:type="dxa"/>
            <w:vAlign w:val="center"/>
          </w:tcPr>
          <w:p w14:paraId="5CCAC29C">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1000≤Y＜30000</w:t>
            </w:r>
          </w:p>
        </w:tc>
        <w:tc>
          <w:tcPr>
            <w:tcW w:w="1426" w:type="dxa"/>
            <w:vAlign w:val="center"/>
          </w:tcPr>
          <w:p w14:paraId="390DF47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100≤Y＜1000</w:t>
            </w:r>
          </w:p>
        </w:tc>
        <w:tc>
          <w:tcPr>
            <w:tcW w:w="992" w:type="dxa"/>
            <w:vAlign w:val="center"/>
          </w:tcPr>
          <w:p w14:paraId="1CB52E2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6087C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535965B">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邮政业</w:t>
            </w:r>
          </w:p>
        </w:tc>
        <w:tc>
          <w:tcPr>
            <w:tcW w:w="1485" w:type="dxa"/>
            <w:vAlign w:val="center"/>
          </w:tcPr>
          <w:p w14:paraId="34064A3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3D65228C">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7070AA6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701" w:type="dxa"/>
            <w:vAlign w:val="center"/>
          </w:tcPr>
          <w:p w14:paraId="6F100A0B">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426" w:type="dxa"/>
            <w:vAlign w:val="center"/>
          </w:tcPr>
          <w:p w14:paraId="13E95D5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20≤X＜300</w:t>
            </w:r>
          </w:p>
        </w:tc>
        <w:tc>
          <w:tcPr>
            <w:tcW w:w="992" w:type="dxa"/>
            <w:vAlign w:val="center"/>
          </w:tcPr>
          <w:p w14:paraId="07AE949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X＜20</w:t>
            </w:r>
          </w:p>
        </w:tc>
      </w:tr>
      <w:tr w14:paraId="23C3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9133879">
            <w:pPr>
              <w:widowControl/>
              <w:jc w:val="left"/>
              <w:rPr>
                <w:rFonts w:ascii="仿宋" w:hAnsi="仿宋" w:eastAsia="仿宋" w:cs="仿宋"/>
                <w:color w:val="auto"/>
                <w:kern w:val="0"/>
                <w:szCs w:val="21"/>
                <w:highlight w:val="none"/>
              </w:rPr>
            </w:pPr>
          </w:p>
        </w:tc>
        <w:tc>
          <w:tcPr>
            <w:tcW w:w="1485" w:type="dxa"/>
            <w:vAlign w:val="center"/>
          </w:tcPr>
          <w:p w14:paraId="3F4EC9C7">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5FD01F21">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54F6082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Y≥30000</w:t>
            </w:r>
          </w:p>
        </w:tc>
        <w:tc>
          <w:tcPr>
            <w:tcW w:w="1701" w:type="dxa"/>
            <w:vAlign w:val="center"/>
          </w:tcPr>
          <w:p w14:paraId="79E0783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2000≤Y＜30000</w:t>
            </w:r>
          </w:p>
        </w:tc>
        <w:tc>
          <w:tcPr>
            <w:tcW w:w="1426" w:type="dxa"/>
            <w:vAlign w:val="center"/>
          </w:tcPr>
          <w:p w14:paraId="1AE51C66">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100≤Y＜2000</w:t>
            </w:r>
          </w:p>
        </w:tc>
        <w:tc>
          <w:tcPr>
            <w:tcW w:w="992" w:type="dxa"/>
            <w:vAlign w:val="center"/>
          </w:tcPr>
          <w:p w14:paraId="640EE41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104E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22CA83D">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住宿业</w:t>
            </w:r>
          </w:p>
        </w:tc>
        <w:tc>
          <w:tcPr>
            <w:tcW w:w="1485" w:type="dxa"/>
            <w:vAlign w:val="center"/>
          </w:tcPr>
          <w:p w14:paraId="78B925AD">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79865A6E">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5281059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701" w:type="dxa"/>
            <w:vAlign w:val="center"/>
          </w:tcPr>
          <w:p w14:paraId="2492F6B9">
            <w:pPr>
              <w:widowControl/>
              <w:ind w:left="19" w:leftChars="-51" w:hanging="126" w:hangingChars="6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1426" w:type="dxa"/>
            <w:vAlign w:val="center"/>
          </w:tcPr>
          <w:p w14:paraId="72557AB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10≤X＜100</w:t>
            </w:r>
          </w:p>
        </w:tc>
        <w:tc>
          <w:tcPr>
            <w:tcW w:w="992" w:type="dxa"/>
            <w:vAlign w:val="center"/>
          </w:tcPr>
          <w:p w14:paraId="38E621D7">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412E3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113" w:type="dxa"/>
            <w:vMerge w:val="continue"/>
            <w:vAlign w:val="center"/>
          </w:tcPr>
          <w:p w14:paraId="0FD08330">
            <w:pPr>
              <w:widowControl/>
              <w:jc w:val="left"/>
              <w:rPr>
                <w:rFonts w:ascii="仿宋" w:hAnsi="仿宋" w:eastAsia="仿宋" w:cs="仿宋"/>
                <w:color w:val="auto"/>
                <w:kern w:val="0"/>
                <w:szCs w:val="21"/>
                <w:highlight w:val="none"/>
              </w:rPr>
            </w:pPr>
          </w:p>
        </w:tc>
        <w:tc>
          <w:tcPr>
            <w:tcW w:w="1485" w:type="dxa"/>
            <w:vAlign w:val="center"/>
          </w:tcPr>
          <w:p w14:paraId="13951363">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5F007A60">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3A9B544A">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w:t>
            </w:r>
          </w:p>
        </w:tc>
        <w:tc>
          <w:tcPr>
            <w:tcW w:w="1701" w:type="dxa"/>
            <w:vAlign w:val="center"/>
          </w:tcPr>
          <w:p w14:paraId="6FB05932">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2000≤Y＜10000</w:t>
            </w:r>
          </w:p>
        </w:tc>
        <w:tc>
          <w:tcPr>
            <w:tcW w:w="1426" w:type="dxa"/>
            <w:vAlign w:val="center"/>
          </w:tcPr>
          <w:p w14:paraId="6A19794D">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100≤Y＜2000</w:t>
            </w:r>
          </w:p>
        </w:tc>
        <w:tc>
          <w:tcPr>
            <w:tcW w:w="992" w:type="dxa"/>
            <w:vAlign w:val="center"/>
          </w:tcPr>
          <w:p w14:paraId="01193ED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789A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25155C6">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餐饮业</w:t>
            </w:r>
          </w:p>
        </w:tc>
        <w:tc>
          <w:tcPr>
            <w:tcW w:w="1485" w:type="dxa"/>
            <w:vAlign w:val="center"/>
          </w:tcPr>
          <w:p w14:paraId="6ACBAFF7">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083EC3F9">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1517EA0D">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701" w:type="dxa"/>
            <w:vAlign w:val="center"/>
          </w:tcPr>
          <w:p w14:paraId="52A5D2DA">
            <w:pPr>
              <w:widowControl/>
              <w:ind w:left="19" w:leftChars="-51" w:hanging="126" w:hangingChars="6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1426" w:type="dxa"/>
            <w:vAlign w:val="center"/>
          </w:tcPr>
          <w:p w14:paraId="5F6D88C8">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10≤X＜100</w:t>
            </w:r>
          </w:p>
        </w:tc>
        <w:tc>
          <w:tcPr>
            <w:tcW w:w="992" w:type="dxa"/>
            <w:vAlign w:val="center"/>
          </w:tcPr>
          <w:p w14:paraId="14B0C00C">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0677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E286220">
            <w:pPr>
              <w:widowControl/>
              <w:jc w:val="left"/>
              <w:rPr>
                <w:rFonts w:ascii="仿宋" w:hAnsi="仿宋" w:eastAsia="仿宋" w:cs="仿宋"/>
                <w:color w:val="auto"/>
                <w:kern w:val="0"/>
                <w:szCs w:val="21"/>
                <w:highlight w:val="none"/>
              </w:rPr>
            </w:pPr>
          </w:p>
        </w:tc>
        <w:tc>
          <w:tcPr>
            <w:tcW w:w="1485" w:type="dxa"/>
            <w:vAlign w:val="center"/>
          </w:tcPr>
          <w:p w14:paraId="316A0FF1">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05CE341D">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72F9CCB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w:t>
            </w:r>
          </w:p>
        </w:tc>
        <w:tc>
          <w:tcPr>
            <w:tcW w:w="1701" w:type="dxa"/>
            <w:vAlign w:val="center"/>
          </w:tcPr>
          <w:p w14:paraId="25004BBB">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2000≤Y＜10000</w:t>
            </w:r>
          </w:p>
        </w:tc>
        <w:tc>
          <w:tcPr>
            <w:tcW w:w="1426" w:type="dxa"/>
            <w:vAlign w:val="center"/>
          </w:tcPr>
          <w:p w14:paraId="123091E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100≤Y＜2000</w:t>
            </w:r>
          </w:p>
        </w:tc>
        <w:tc>
          <w:tcPr>
            <w:tcW w:w="992" w:type="dxa"/>
            <w:vAlign w:val="center"/>
          </w:tcPr>
          <w:p w14:paraId="0A0BACC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2F72E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3013FAF0">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信息传输业 *</w:t>
            </w:r>
          </w:p>
        </w:tc>
        <w:tc>
          <w:tcPr>
            <w:tcW w:w="1485" w:type="dxa"/>
            <w:vAlign w:val="center"/>
          </w:tcPr>
          <w:p w14:paraId="7505664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1423A5C6">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564E282D">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X≥2000</w:t>
            </w:r>
          </w:p>
        </w:tc>
        <w:tc>
          <w:tcPr>
            <w:tcW w:w="1701" w:type="dxa"/>
            <w:vAlign w:val="center"/>
          </w:tcPr>
          <w:p w14:paraId="71FC9E8F">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100≤X＜2000</w:t>
            </w:r>
          </w:p>
        </w:tc>
        <w:tc>
          <w:tcPr>
            <w:tcW w:w="1426" w:type="dxa"/>
            <w:vAlign w:val="center"/>
          </w:tcPr>
          <w:p w14:paraId="5BF01EB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10≤X＜100</w:t>
            </w:r>
          </w:p>
        </w:tc>
        <w:tc>
          <w:tcPr>
            <w:tcW w:w="992" w:type="dxa"/>
            <w:vAlign w:val="center"/>
          </w:tcPr>
          <w:p w14:paraId="7455347F">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1311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DBF462A">
            <w:pPr>
              <w:widowControl/>
              <w:jc w:val="left"/>
              <w:rPr>
                <w:rFonts w:ascii="仿宋" w:hAnsi="仿宋" w:eastAsia="仿宋" w:cs="仿宋"/>
                <w:color w:val="auto"/>
                <w:kern w:val="0"/>
                <w:szCs w:val="21"/>
                <w:highlight w:val="none"/>
              </w:rPr>
            </w:pPr>
          </w:p>
        </w:tc>
        <w:tc>
          <w:tcPr>
            <w:tcW w:w="1485" w:type="dxa"/>
            <w:vAlign w:val="center"/>
          </w:tcPr>
          <w:p w14:paraId="63643216">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1C4811F8">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016DE57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Y≥100000</w:t>
            </w:r>
          </w:p>
        </w:tc>
        <w:tc>
          <w:tcPr>
            <w:tcW w:w="1701" w:type="dxa"/>
            <w:vAlign w:val="center"/>
          </w:tcPr>
          <w:p w14:paraId="33AAAB9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1000≤Y＜100000</w:t>
            </w:r>
          </w:p>
        </w:tc>
        <w:tc>
          <w:tcPr>
            <w:tcW w:w="1426" w:type="dxa"/>
            <w:vAlign w:val="center"/>
          </w:tcPr>
          <w:p w14:paraId="2ECDC90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100≤Y＜1000</w:t>
            </w:r>
          </w:p>
        </w:tc>
        <w:tc>
          <w:tcPr>
            <w:tcW w:w="992" w:type="dxa"/>
            <w:vAlign w:val="center"/>
          </w:tcPr>
          <w:p w14:paraId="6D1217B2">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74016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5F3DEF7">
            <w:pPr>
              <w:widowControl/>
              <w:spacing w:line="240" w:lineRule="exact"/>
              <w:jc w:val="left"/>
              <w:rPr>
                <w:rFonts w:ascii="仿宋" w:hAnsi="仿宋" w:eastAsia="仿宋" w:cs="仿宋"/>
                <w:color w:val="auto"/>
                <w:spacing w:val="-12"/>
                <w:kern w:val="0"/>
                <w:szCs w:val="21"/>
                <w:highlight w:val="none"/>
              </w:rPr>
            </w:pPr>
            <w:r>
              <w:rPr>
                <w:rFonts w:hint="eastAsia" w:ascii="仿宋" w:hAnsi="仿宋" w:eastAsia="仿宋" w:cs="仿宋"/>
                <w:color w:val="auto"/>
                <w:spacing w:val="-12"/>
                <w:kern w:val="0"/>
                <w:szCs w:val="21"/>
                <w:highlight w:val="none"/>
              </w:rPr>
              <w:t>软件和信息技术服</w:t>
            </w:r>
            <w:r>
              <w:rPr>
                <w:rFonts w:hint="eastAsia" w:ascii="仿宋" w:hAnsi="仿宋" w:eastAsia="仿宋" w:cs="仿宋"/>
                <w:color w:val="auto"/>
                <w:kern w:val="0"/>
                <w:szCs w:val="21"/>
                <w:highlight w:val="none"/>
              </w:rPr>
              <w:t>务业</w:t>
            </w:r>
          </w:p>
        </w:tc>
        <w:tc>
          <w:tcPr>
            <w:tcW w:w="1485" w:type="dxa"/>
            <w:vAlign w:val="center"/>
          </w:tcPr>
          <w:p w14:paraId="60CD0F6B">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5C87C5E7">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43C9D10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701" w:type="dxa"/>
            <w:vAlign w:val="center"/>
          </w:tcPr>
          <w:p w14:paraId="537508F9">
            <w:pPr>
              <w:widowControl/>
              <w:ind w:left="19" w:leftChars="-51" w:hanging="126" w:hangingChars="6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1426" w:type="dxa"/>
            <w:vAlign w:val="center"/>
          </w:tcPr>
          <w:p w14:paraId="7D83CD0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10≤X＜100</w:t>
            </w:r>
          </w:p>
        </w:tc>
        <w:tc>
          <w:tcPr>
            <w:tcW w:w="992" w:type="dxa"/>
            <w:vAlign w:val="center"/>
          </w:tcPr>
          <w:p w14:paraId="3437296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174F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261BFEC">
            <w:pPr>
              <w:widowControl/>
              <w:jc w:val="left"/>
              <w:rPr>
                <w:rFonts w:ascii="仿宋" w:hAnsi="仿宋" w:eastAsia="仿宋" w:cs="仿宋"/>
                <w:color w:val="auto"/>
                <w:spacing w:val="-12"/>
                <w:kern w:val="0"/>
                <w:szCs w:val="21"/>
                <w:highlight w:val="none"/>
              </w:rPr>
            </w:pPr>
          </w:p>
        </w:tc>
        <w:tc>
          <w:tcPr>
            <w:tcW w:w="1485" w:type="dxa"/>
            <w:vAlign w:val="center"/>
          </w:tcPr>
          <w:p w14:paraId="67F3494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14F685BD">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3EE0A2E2">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Y≥10000</w:t>
            </w:r>
          </w:p>
        </w:tc>
        <w:tc>
          <w:tcPr>
            <w:tcW w:w="1701" w:type="dxa"/>
            <w:vAlign w:val="center"/>
          </w:tcPr>
          <w:p w14:paraId="2825E10C">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1000≤Y＜10000</w:t>
            </w:r>
          </w:p>
        </w:tc>
        <w:tc>
          <w:tcPr>
            <w:tcW w:w="1426" w:type="dxa"/>
            <w:vAlign w:val="center"/>
          </w:tcPr>
          <w:p w14:paraId="497B3B7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50≤Y＜1000</w:t>
            </w:r>
          </w:p>
        </w:tc>
        <w:tc>
          <w:tcPr>
            <w:tcW w:w="992" w:type="dxa"/>
            <w:vAlign w:val="center"/>
          </w:tcPr>
          <w:p w14:paraId="6BC6B8FB">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Y＜50</w:t>
            </w:r>
          </w:p>
        </w:tc>
      </w:tr>
      <w:tr w14:paraId="0E49B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38339043">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房地产开发经营</w:t>
            </w:r>
          </w:p>
        </w:tc>
        <w:tc>
          <w:tcPr>
            <w:tcW w:w="1485" w:type="dxa"/>
            <w:vAlign w:val="center"/>
          </w:tcPr>
          <w:p w14:paraId="6B29D8F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32B6F84C">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769F0C48">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Y≥200000</w:t>
            </w:r>
          </w:p>
        </w:tc>
        <w:tc>
          <w:tcPr>
            <w:tcW w:w="1701" w:type="dxa"/>
            <w:vAlign w:val="center"/>
          </w:tcPr>
          <w:p w14:paraId="490E2F4D">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1000≤Y＜200000</w:t>
            </w:r>
          </w:p>
        </w:tc>
        <w:tc>
          <w:tcPr>
            <w:tcW w:w="1426" w:type="dxa"/>
            <w:vAlign w:val="center"/>
          </w:tcPr>
          <w:p w14:paraId="1BD205E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100≤Y＜1000</w:t>
            </w:r>
          </w:p>
        </w:tc>
        <w:tc>
          <w:tcPr>
            <w:tcW w:w="992" w:type="dxa"/>
            <w:vAlign w:val="center"/>
          </w:tcPr>
          <w:p w14:paraId="13FEA0C9">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Y＜100</w:t>
            </w:r>
          </w:p>
        </w:tc>
      </w:tr>
      <w:tr w14:paraId="3470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625A56BA">
            <w:pPr>
              <w:widowControl/>
              <w:jc w:val="left"/>
              <w:rPr>
                <w:rFonts w:ascii="仿宋" w:hAnsi="仿宋" w:eastAsia="仿宋" w:cs="仿宋"/>
                <w:color w:val="auto"/>
                <w:kern w:val="0"/>
                <w:szCs w:val="21"/>
                <w:highlight w:val="none"/>
              </w:rPr>
            </w:pPr>
          </w:p>
        </w:tc>
        <w:tc>
          <w:tcPr>
            <w:tcW w:w="1485" w:type="dxa"/>
            <w:vAlign w:val="center"/>
          </w:tcPr>
          <w:p w14:paraId="798E867F">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资产总额(Z)</w:t>
            </w:r>
          </w:p>
        </w:tc>
        <w:tc>
          <w:tcPr>
            <w:tcW w:w="593" w:type="dxa"/>
            <w:vAlign w:val="center"/>
          </w:tcPr>
          <w:p w14:paraId="231B491D">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2713C92A">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Z≥10000</w:t>
            </w:r>
          </w:p>
        </w:tc>
        <w:tc>
          <w:tcPr>
            <w:tcW w:w="1701" w:type="dxa"/>
            <w:vAlign w:val="center"/>
          </w:tcPr>
          <w:p w14:paraId="1138204D">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5000≤Z＜10000</w:t>
            </w:r>
          </w:p>
        </w:tc>
        <w:tc>
          <w:tcPr>
            <w:tcW w:w="1426" w:type="dxa"/>
            <w:vAlign w:val="center"/>
          </w:tcPr>
          <w:p w14:paraId="548F841F">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2000≤Z＜5000   </w:t>
            </w:r>
          </w:p>
        </w:tc>
        <w:tc>
          <w:tcPr>
            <w:tcW w:w="992" w:type="dxa"/>
            <w:vAlign w:val="center"/>
          </w:tcPr>
          <w:p w14:paraId="423A744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Z＜2000</w:t>
            </w:r>
          </w:p>
        </w:tc>
      </w:tr>
      <w:tr w14:paraId="12A3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7F3B751">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物业管理</w:t>
            </w:r>
          </w:p>
        </w:tc>
        <w:tc>
          <w:tcPr>
            <w:tcW w:w="1485" w:type="dxa"/>
            <w:vAlign w:val="center"/>
          </w:tcPr>
          <w:p w14:paraId="782AB05B">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79137C9C">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55C59B07">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X≥1000</w:t>
            </w:r>
          </w:p>
        </w:tc>
        <w:tc>
          <w:tcPr>
            <w:tcW w:w="1701" w:type="dxa"/>
            <w:vAlign w:val="center"/>
          </w:tcPr>
          <w:p w14:paraId="225C1A6F">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300≤X＜1000</w:t>
            </w:r>
          </w:p>
        </w:tc>
        <w:tc>
          <w:tcPr>
            <w:tcW w:w="1426" w:type="dxa"/>
            <w:vAlign w:val="center"/>
          </w:tcPr>
          <w:p w14:paraId="365201B8">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992" w:type="dxa"/>
            <w:vAlign w:val="center"/>
          </w:tcPr>
          <w:p w14:paraId="3503DDB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X＜100</w:t>
            </w:r>
          </w:p>
        </w:tc>
      </w:tr>
      <w:tr w14:paraId="7C13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73E7A28">
            <w:pPr>
              <w:widowControl/>
              <w:jc w:val="left"/>
              <w:rPr>
                <w:rFonts w:ascii="仿宋" w:hAnsi="仿宋" w:eastAsia="仿宋" w:cs="仿宋"/>
                <w:color w:val="auto"/>
                <w:kern w:val="0"/>
                <w:szCs w:val="21"/>
                <w:highlight w:val="none"/>
              </w:rPr>
            </w:pPr>
          </w:p>
        </w:tc>
        <w:tc>
          <w:tcPr>
            <w:tcW w:w="1485" w:type="dxa"/>
            <w:vAlign w:val="center"/>
          </w:tcPr>
          <w:p w14:paraId="64F2EA4D">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营业收入(Y)</w:t>
            </w:r>
          </w:p>
        </w:tc>
        <w:tc>
          <w:tcPr>
            <w:tcW w:w="593" w:type="dxa"/>
            <w:vAlign w:val="center"/>
          </w:tcPr>
          <w:p w14:paraId="7F4D5F09">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065AFBB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Y≥5000</w:t>
            </w:r>
          </w:p>
        </w:tc>
        <w:tc>
          <w:tcPr>
            <w:tcW w:w="1701" w:type="dxa"/>
            <w:vAlign w:val="center"/>
          </w:tcPr>
          <w:p w14:paraId="6CFA3FF7">
            <w:pPr>
              <w:widowControl/>
              <w:ind w:left="19" w:leftChars="-51" w:hanging="126" w:hangingChars="6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1000≤Y＜5000 </w:t>
            </w:r>
          </w:p>
        </w:tc>
        <w:tc>
          <w:tcPr>
            <w:tcW w:w="1426" w:type="dxa"/>
            <w:vAlign w:val="center"/>
          </w:tcPr>
          <w:p w14:paraId="1864940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500≤Y＜1000</w:t>
            </w:r>
          </w:p>
        </w:tc>
        <w:tc>
          <w:tcPr>
            <w:tcW w:w="992" w:type="dxa"/>
            <w:vAlign w:val="center"/>
          </w:tcPr>
          <w:p w14:paraId="792678F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Y＜500</w:t>
            </w:r>
          </w:p>
        </w:tc>
      </w:tr>
      <w:tr w14:paraId="7532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6BB1755">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租赁和商务服务业</w:t>
            </w:r>
          </w:p>
        </w:tc>
        <w:tc>
          <w:tcPr>
            <w:tcW w:w="1485" w:type="dxa"/>
            <w:vAlign w:val="center"/>
          </w:tcPr>
          <w:p w14:paraId="1D0E181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0E95B5B4">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756E0B2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701" w:type="dxa"/>
            <w:vAlign w:val="center"/>
          </w:tcPr>
          <w:p w14:paraId="1AC63087">
            <w:pPr>
              <w:widowControl/>
              <w:ind w:left="19" w:leftChars="-51" w:hanging="126" w:hangingChars="6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1426" w:type="dxa"/>
            <w:vAlign w:val="center"/>
          </w:tcPr>
          <w:p w14:paraId="175E0B6C">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10≤X＜100</w:t>
            </w:r>
          </w:p>
        </w:tc>
        <w:tc>
          <w:tcPr>
            <w:tcW w:w="992" w:type="dxa"/>
            <w:vAlign w:val="center"/>
          </w:tcPr>
          <w:p w14:paraId="2C601FF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r w14:paraId="21479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D47A5B0">
            <w:pPr>
              <w:widowControl/>
              <w:jc w:val="left"/>
              <w:rPr>
                <w:rFonts w:ascii="仿宋" w:hAnsi="仿宋" w:eastAsia="仿宋" w:cs="仿宋"/>
                <w:color w:val="auto"/>
                <w:kern w:val="0"/>
                <w:szCs w:val="21"/>
                <w:highlight w:val="none"/>
              </w:rPr>
            </w:pPr>
          </w:p>
        </w:tc>
        <w:tc>
          <w:tcPr>
            <w:tcW w:w="1485" w:type="dxa"/>
            <w:vAlign w:val="center"/>
          </w:tcPr>
          <w:p w14:paraId="2F90DE80">
            <w:pPr>
              <w:widowControl/>
              <w:spacing w:line="240" w:lineRule="exact"/>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资产总额(Z)</w:t>
            </w:r>
          </w:p>
        </w:tc>
        <w:tc>
          <w:tcPr>
            <w:tcW w:w="593" w:type="dxa"/>
            <w:vAlign w:val="center"/>
          </w:tcPr>
          <w:p w14:paraId="3071E925">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万元</w:t>
            </w:r>
          </w:p>
        </w:tc>
        <w:tc>
          <w:tcPr>
            <w:tcW w:w="1125" w:type="dxa"/>
            <w:vAlign w:val="center"/>
          </w:tcPr>
          <w:p w14:paraId="0A14E98B">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Z≥120000</w:t>
            </w:r>
          </w:p>
        </w:tc>
        <w:tc>
          <w:tcPr>
            <w:tcW w:w="1701" w:type="dxa"/>
            <w:vAlign w:val="center"/>
          </w:tcPr>
          <w:p w14:paraId="60BFF034">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8000≤Z＜120000</w:t>
            </w:r>
          </w:p>
        </w:tc>
        <w:tc>
          <w:tcPr>
            <w:tcW w:w="1426" w:type="dxa"/>
            <w:vAlign w:val="center"/>
          </w:tcPr>
          <w:p w14:paraId="7F9AC8DC">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100≤Z＜8000</w:t>
            </w:r>
          </w:p>
        </w:tc>
        <w:tc>
          <w:tcPr>
            <w:tcW w:w="992" w:type="dxa"/>
            <w:vAlign w:val="center"/>
          </w:tcPr>
          <w:p w14:paraId="2C643E6E">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Z＜100</w:t>
            </w:r>
          </w:p>
        </w:tc>
      </w:tr>
      <w:tr w14:paraId="0B959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6B46EC87">
            <w:pPr>
              <w:widowControl/>
              <w:spacing w:line="240" w:lineRule="exact"/>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其他未列明行业 *</w:t>
            </w:r>
          </w:p>
        </w:tc>
        <w:tc>
          <w:tcPr>
            <w:tcW w:w="1485" w:type="dxa"/>
            <w:vAlign w:val="center"/>
          </w:tcPr>
          <w:p w14:paraId="63B74C2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从业人员(X)</w:t>
            </w:r>
          </w:p>
        </w:tc>
        <w:tc>
          <w:tcPr>
            <w:tcW w:w="593" w:type="dxa"/>
            <w:vAlign w:val="center"/>
          </w:tcPr>
          <w:p w14:paraId="7A6E930A">
            <w:pPr>
              <w:widowControl/>
              <w:jc w:val="center"/>
              <w:rPr>
                <w:rFonts w:ascii="仿宋" w:hAnsi="仿宋" w:eastAsia="仿宋" w:cs="仿宋"/>
                <w:color w:val="auto"/>
                <w:kern w:val="0"/>
                <w:sz w:val="18"/>
                <w:szCs w:val="18"/>
                <w:highlight w:val="none"/>
              </w:rPr>
            </w:pPr>
            <w:r>
              <w:rPr>
                <w:rFonts w:hint="eastAsia" w:ascii="仿宋" w:hAnsi="仿宋" w:eastAsia="仿宋" w:cs="仿宋"/>
                <w:color w:val="auto"/>
                <w:kern w:val="0"/>
                <w:sz w:val="18"/>
                <w:szCs w:val="18"/>
                <w:highlight w:val="none"/>
              </w:rPr>
              <w:t>人</w:t>
            </w:r>
          </w:p>
        </w:tc>
        <w:tc>
          <w:tcPr>
            <w:tcW w:w="1125" w:type="dxa"/>
            <w:vAlign w:val="center"/>
          </w:tcPr>
          <w:p w14:paraId="69BDF1C0">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X≥300</w:t>
            </w:r>
          </w:p>
        </w:tc>
        <w:tc>
          <w:tcPr>
            <w:tcW w:w="1701" w:type="dxa"/>
            <w:vAlign w:val="center"/>
          </w:tcPr>
          <w:p w14:paraId="76724F27">
            <w:pPr>
              <w:widowControl/>
              <w:ind w:left="19" w:leftChars="-51" w:hanging="126" w:hangingChars="60"/>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100≤X＜300 </w:t>
            </w:r>
          </w:p>
        </w:tc>
        <w:tc>
          <w:tcPr>
            <w:tcW w:w="1426" w:type="dxa"/>
            <w:vAlign w:val="center"/>
          </w:tcPr>
          <w:p w14:paraId="4149B253">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 10≤X＜100</w:t>
            </w:r>
          </w:p>
        </w:tc>
        <w:tc>
          <w:tcPr>
            <w:tcW w:w="992" w:type="dxa"/>
            <w:vAlign w:val="center"/>
          </w:tcPr>
          <w:p w14:paraId="207307B1">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X＜10</w:t>
            </w:r>
          </w:p>
        </w:tc>
      </w:tr>
    </w:tbl>
    <w:p w14:paraId="69B2BC0C">
      <w:pPr>
        <w:widowControl/>
        <w:spacing w:line="360" w:lineRule="auto"/>
        <w:rPr>
          <w:rFonts w:ascii="仿宋" w:hAnsi="仿宋" w:eastAsia="仿宋" w:cs="仿宋"/>
          <w:color w:val="auto"/>
          <w:spacing w:val="8"/>
          <w:kern w:val="0"/>
          <w:szCs w:val="21"/>
          <w:highlight w:val="none"/>
        </w:rPr>
      </w:pPr>
    </w:p>
    <w:p w14:paraId="0A8752DD">
      <w:pPr>
        <w:widowControl/>
        <w:spacing w:line="360" w:lineRule="auto"/>
        <w:jc w:val="left"/>
        <w:rPr>
          <w:rFonts w:ascii="仿宋" w:hAnsi="仿宋" w:eastAsia="仿宋" w:cs="仿宋"/>
          <w:color w:val="auto"/>
          <w:spacing w:val="8"/>
          <w:kern w:val="0"/>
          <w:szCs w:val="21"/>
          <w:highlight w:val="none"/>
        </w:rPr>
      </w:pPr>
      <w:r>
        <w:rPr>
          <w:rFonts w:hint="eastAsia" w:ascii="仿宋" w:hAnsi="仿宋" w:eastAsia="仿宋" w:cs="仿宋"/>
          <w:color w:val="auto"/>
          <w:spacing w:val="8"/>
          <w:kern w:val="0"/>
          <w:szCs w:val="21"/>
          <w:highlight w:val="none"/>
        </w:rPr>
        <w:br w:type="page"/>
      </w:r>
    </w:p>
    <w:p w14:paraId="76F8C1C3">
      <w:pPr>
        <w:widowControl/>
        <w:spacing w:line="540" w:lineRule="exact"/>
        <w:rPr>
          <w:rFonts w:ascii="仿宋" w:hAnsi="仿宋" w:eastAsia="仿宋" w:cs="仿宋"/>
          <w:b/>
          <w:bCs/>
          <w:color w:val="auto"/>
          <w:spacing w:val="8"/>
          <w:kern w:val="0"/>
          <w:szCs w:val="21"/>
          <w:highlight w:val="none"/>
        </w:rPr>
      </w:pPr>
      <w:r>
        <w:rPr>
          <w:rFonts w:hint="eastAsia" w:ascii="仿宋" w:hAnsi="仿宋" w:eastAsia="仿宋" w:cs="仿宋"/>
          <w:b/>
          <w:bCs/>
          <w:color w:val="auto"/>
          <w:spacing w:val="8"/>
          <w:kern w:val="0"/>
          <w:szCs w:val="21"/>
          <w:highlight w:val="none"/>
        </w:rPr>
        <w:t>说明：</w:t>
      </w:r>
    </w:p>
    <w:p w14:paraId="33A44FB7">
      <w:pPr>
        <w:spacing w:line="540" w:lineRule="exact"/>
        <w:rPr>
          <w:rFonts w:ascii="仿宋" w:hAnsi="仿宋" w:eastAsia="仿宋" w:cs="仿宋"/>
          <w:color w:val="auto"/>
          <w:spacing w:val="8"/>
          <w:kern w:val="0"/>
          <w:szCs w:val="21"/>
          <w:highlight w:val="none"/>
        </w:rPr>
      </w:pPr>
      <w:r>
        <w:rPr>
          <w:rFonts w:hint="eastAsia" w:ascii="仿宋" w:hAnsi="仿宋" w:eastAsia="仿宋" w:cs="仿宋"/>
          <w:color w:val="auto"/>
          <w:spacing w:val="8"/>
          <w:kern w:val="0"/>
          <w:szCs w:val="21"/>
          <w:highlight w:val="none"/>
        </w:rPr>
        <w:t>1.大型、中型和小型企业须同时满足所列指标的下限，否则下划一档；微型企业只须满足所列指标中的一项即可。</w:t>
      </w:r>
    </w:p>
    <w:p w14:paraId="3D1C9F08">
      <w:pPr>
        <w:spacing w:line="540" w:lineRule="exact"/>
        <w:rPr>
          <w:rFonts w:ascii="仿宋" w:hAnsi="仿宋" w:eastAsia="仿宋" w:cs="仿宋"/>
          <w:color w:val="auto"/>
          <w:spacing w:val="8"/>
          <w:kern w:val="0"/>
          <w:szCs w:val="21"/>
          <w:highlight w:val="none"/>
        </w:rPr>
      </w:pPr>
      <w:r>
        <w:rPr>
          <w:rFonts w:hint="eastAsia" w:ascii="仿宋" w:hAnsi="仿宋" w:eastAsia="仿宋" w:cs="仿宋"/>
          <w:color w:val="auto"/>
          <w:spacing w:val="8"/>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B6ACA77">
      <w:pPr>
        <w:spacing w:line="540" w:lineRule="exact"/>
        <w:rPr>
          <w:rFonts w:ascii="仿宋" w:hAnsi="仿宋" w:eastAsia="仿宋" w:cs="仿宋"/>
          <w:color w:val="auto"/>
          <w:szCs w:val="21"/>
          <w:highlight w:val="none"/>
        </w:rPr>
      </w:pPr>
      <w:r>
        <w:rPr>
          <w:rFonts w:hint="eastAsia" w:ascii="仿宋" w:hAnsi="仿宋" w:eastAsia="仿宋" w:cs="仿宋"/>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7A8C2F7">
      <w:pPr>
        <w:rPr>
          <w:rFonts w:ascii="仿宋" w:hAnsi="仿宋" w:eastAsia="仿宋" w:cs="仿宋"/>
          <w:color w:val="auto"/>
          <w:szCs w:val="21"/>
          <w:highlight w:val="none"/>
        </w:rPr>
      </w:pPr>
    </w:p>
    <w:p w14:paraId="512F45FD">
      <w:pPr>
        <w:spacing w:line="500" w:lineRule="exact"/>
        <w:rPr>
          <w:rFonts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07EA7C07">
      <w:pPr>
        <w:spacing w:line="500" w:lineRule="exact"/>
        <w:rPr>
          <w:rFonts w:ascii="仿宋" w:hAnsi="仿宋" w:eastAsia="仿宋" w:cs="仿宋"/>
          <w:b/>
          <w:color w:val="auto"/>
          <w:kern w:val="0"/>
          <w:szCs w:val="21"/>
          <w:highlight w:val="none"/>
        </w:rPr>
      </w:pPr>
      <w:bookmarkStart w:id="122" w:name="_Toc2089"/>
      <w:bookmarkStart w:id="123" w:name="_Toc27183"/>
      <w:bookmarkStart w:id="124" w:name="_Toc2213"/>
      <w:bookmarkStart w:id="125" w:name="_Toc23048"/>
      <w:bookmarkStart w:id="126" w:name="_Toc977"/>
      <w:bookmarkStart w:id="127" w:name="_Toc32323"/>
      <w:bookmarkStart w:id="128" w:name="_Toc23242"/>
      <w:bookmarkStart w:id="129" w:name="_Toc18899"/>
      <w:bookmarkStart w:id="130" w:name="_Toc30379"/>
      <w:r>
        <w:rPr>
          <w:rFonts w:hint="eastAsia" w:ascii="仿宋" w:hAnsi="仿宋" w:eastAsia="仿宋" w:cs="仿宋"/>
          <w:b/>
          <w:color w:val="auto"/>
          <w:kern w:val="0"/>
          <w:szCs w:val="21"/>
          <w:highlight w:val="none"/>
        </w:rPr>
        <w:t>附件2：残疾人福利性单位声明函</w:t>
      </w:r>
      <w:bookmarkEnd w:id="122"/>
      <w:r>
        <w:rPr>
          <w:rFonts w:hint="eastAsia" w:ascii="仿宋" w:hAnsi="仿宋" w:eastAsia="仿宋" w:cs="仿宋"/>
          <w:b/>
          <w:color w:val="auto"/>
          <w:kern w:val="0"/>
          <w:szCs w:val="21"/>
          <w:highlight w:val="none"/>
        </w:rPr>
        <w:t>（若是）</w:t>
      </w:r>
      <w:bookmarkEnd w:id="123"/>
      <w:bookmarkEnd w:id="124"/>
      <w:bookmarkEnd w:id="125"/>
      <w:bookmarkEnd w:id="126"/>
      <w:bookmarkEnd w:id="127"/>
      <w:bookmarkEnd w:id="128"/>
      <w:bookmarkEnd w:id="129"/>
    </w:p>
    <w:bookmarkEnd w:id="130"/>
    <w:p w14:paraId="38893D3D">
      <w:pPr>
        <w:spacing w:line="500" w:lineRule="exact"/>
        <w:jc w:val="left"/>
        <w:rPr>
          <w:rFonts w:ascii="仿宋" w:hAnsi="仿宋" w:eastAsia="仿宋" w:cs="仿宋"/>
          <w:b/>
          <w:bCs/>
          <w:color w:val="auto"/>
          <w:szCs w:val="21"/>
          <w:highlight w:val="none"/>
        </w:rPr>
      </w:pPr>
    </w:p>
    <w:p w14:paraId="2C2A8955">
      <w:pPr>
        <w:spacing w:line="50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（二）残疾人福利性单位声明函（若为残疾人福利性单位的才须填写）</w:t>
      </w:r>
    </w:p>
    <w:p w14:paraId="75B4791F">
      <w:pPr>
        <w:ind w:left="3320"/>
        <w:rPr>
          <w:rFonts w:ascii="仿宋" w:hAnsi="仿宋" w:eastAsia="仿宋" w:cs="仿宋"/>
          <w:color w:val="auto"/>
          <w:szCs w:val="21"/>
          <w:highlight w:val="none"/>
        </w:rPr>
      </w:pPr>
    </w:p>
    <w:p w14:paraId="0D74E98E">
      <w:pPr>
        <w:spacing w:line="390" w:lineRule="exact"/>
        <w:ind w:firstLine="480"/>
        <w:rPr>
          <w:rFonts w:ascii="仿宋" w:hAnsi="仿宋" w:eastAsia="仿宋" w:cs="仿宋"/>
          <w:color w:val="auto"/>
          <w:szCs w:val="21"/>
          <w:highlight w:val="none"/>
        </w:rPr>
      </w:pPr>
      <w:r>
        <w:rPr>
          <w:rFonts w:hint="eastAsia" w:ascii="仿宋" w:hAnsi="仿宋" w:eastAsia="仿宋" w:cs="仿宋"/>
          <w:color w:val="auto"/>
          <w:szCs w:val="21"/>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仿宋" w:hAnsi="仿宋" w:eastAsia="仿宋" w:cs="仿宋"/>
          <w:color w:val="auto"/>
          <w:szCs w:val="21"/>
          <w:highlight w:val="none"/>
          <w:u w:val="single"/>
        </w:rPr>
        <w:t>（项目名称）</w:t>
      </w:r>
      <w:r>
        <w:rPr>
          <w:rFonts w:hint="eastAsia" w:ascii="仿宋" w:hAnsi="仿宋" w:eastAsia="仿宋" w:cs="仿宋"/>
          <w:color w:val="auto"/>
          <w:szCs w:val="21"/>
          <w:highlight w:val="none"/>
        </w:rPr>
        <w:t>采购活动提供本单位制造的货物(由本单位承担工程/提供服务)，或者提供其他残疾人福利性单位制造的货物(不包括使用非残疾人福利性单位注册商标的货物)。</w:t>
      </w:r>
    </w:p>
    <w:p w14:paraId="75B17CA5">
      <w:pPr>
        <w:spacing w:line="196" w:lineRule="exact"/>
        <w:rPr>
          <w:rFonts w:ascii="仿宋" w:hAnsi="仿宋" w:eastAsia="仿宋" w:cs="仿宋"/>
          <w:color w:val="auto"/>
          <w:szCs w:val="21"/>
          <w:highlight w:val="none"/>
        </w:rPr>
      </w:pPr>
    </w:p>
    <w:p w14:paraId="61E70F43">
      <w:pPr>
        <w:spacing w:line="274" w:lineRule="exact"/>
        <w:ind w:left="480"/>
        <w:rPr>
          <w:rFonts w:ascii="仿宋" w:hAnsi="仿宋" w:eastAsia="仿宋" w:cs="仿宋"/>
          <w:color w:val="auto"/>
          <w:szCs w:val="21"/>
          <w:highlight w:val="none"/>
        </w:rPr>
      </w:pPr>
      <w:r>
        <w:rPr>
          <w:rFonts w:hint="eastAsia" w:ascii="仿宋" w:hAnsi="仿宋" w:eastAsia="仿宋" w:cs="仿宋"/>
          <w:color w:val="auto"/>
          <w:szCs w:val="21"/>
          <w:highlight w:val="none"/>
        </w:rPr>
        <w:t>本单位对上述声明的真实性负责。如有虚假，将依法承担相应责任。</w:t>
      </w:r>
    </w:p>
    <w:p w14:paraId="7E283F1C">
      <w:pPr>
        <w:spacing w:line="200" w:lineRule="exact"/>
        <w:rPr>
          <w:rFonts w:ascii="仿宋" w:hAnsi="仿宋" w:eastAsia="仿宋" w:cs="仿宋"/>
          <w:color w:val="auto"/>
          <w:szCs w:val="21"/>
          <w:highlight w:val="none"/>
        </w:rPr>
      </w:pPr>
    </w:p>
    <w:p w14:paraId="03A320C6">
      <w:pPr>
        <w:spacing w:line="360" w:lineRule="auto"/>
        <w:ind w:left="3780" w:leftChars="1800"/>
        <w:rPr>
          <w:rFonts w:ascii="仿宋" w:hAnsi="仿宋" w:eastAsia="仿宋" w:cs="仿宋"/>
          <w:color w:val="auto"/>
          <w:szCs w:val="21"/>
          <w:highlight w:val="none"/>
        </w:rPr>
      </w:pPr>
    </w:p>
    <w:p w14:paraId="2DC06A77">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（全称）（盖单位公章）</w:t>
      </w:r>
    </w:p>
    <w:p w14:paraId="22FF46CD">
      <w:pPr>
        <w:spacing w:line="360" w:lineRule="auto"/>
        <w:ind w:firstLine="2520" w:firstLineChars="1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法定代表人（或委托代理人）：</w:t>
      </w:r>
      <w:r>
        <w:rPr>
          <w:rFonts w:hint="eastAsia" w:ascii="仿宋" w:hAnsi="仿宋" w:eastAsia="仿宋" w:cs="仿宋"/>
          <w:color w:val="auto"/>
          <w:szCs w:val="21"/>
          <w:highlight w:val="none"/>
          <w:u w:val="single"/>
        </w:rPr>
        <w:t xml:space="preserve">       （签字或盖章）</w:t>
      </w:r>
    </w:p>
    <w:p w14:paraId="35296DCB">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日期：年月日</w:t>
      </w:r>
    </w:p>
    <w:p w14:paraId="05D29F8A">
      <w:pPr>
        <w:spacing w:line="500" w:lineRule="exact"/>
        <w:jc w:val="center"/>
        <w:rPr>
          <w:rFonts w:ascii="仿宋" w:hAnsi="仿宋" w:eastAsia="仿宋" w:cs="仿宋"/>
          <w:b/>
          <w:bCs/>
          <w:color w:val="auto"/>
          <w:szCs w:val="21"/>
          <w:highlight w:val="none"/>
        </w:rPr>
      </w:pPr>
    </w:p>
    <w:p w14:paraId="609AB3F0">
      <w:pPr>
        <w:spacing w:line="500" w:lineRule="exact"/>
        <w:jc w:val="center"/>
        <w:rPr>
          <w:rFonts w:ascii="仿宋" w:hAnsi="仿宋" w:eastAsia="仿宋" w:cs="仿宋"/>
          <w:b/>
          <w:bCs/>
          <w:color w:val="auto"/>
          <w:szCs w:val="21"/>
          <w:highlight w:val="none"/>
        </w:rPr>
      </w:pPr>
    </w:p>
    <w:p w14:paraId="70639D39">
      <w:pPr>
        <w:rPr>
          <w:rFonts w:ascii="仿宋" w:hAnsi="仿宋" w:eastAsia="仿宋" w:cs="仿宋"/>
          <w:b/>
          <w:bCs/>
          <w:color w:val="auto"/>
          <w:szCs w:val="21"/>
          <w:highlight w:val="none"/>
        </w:rPr>
      </w:pPr>
      <w:r>
        <w:rPr>
          <w:rFonts w:hint="eastAsia" w:ascii="仿宋" w:hAnsi="仿宋" w:eastAsia="仿宋" w:cs="仿宋"/>
          <w:b/>
          <w:bCs/>
          <w:color w:val="auto"/>
          <w:szCs w:val="21"/>
          <w:highlight w:val="none"/>
        </w:rPr>
        <w:br w:type="page"/>
      </w:r>
    </w:p>
    <w:p w14:paraId="4383EC4C">
      <w:pPr>
        <w:rPr>
          <w:rFonts w:ascii="仿宋" w:hAnsi="仿宋" w:eastAsia="仿宋" w:cs="仿宋"/>
          <w:b/>
          <w:color w:val="auto"/>
          <w:kern w:val="0"/>
          <w:szCs w:val="21"/>
          <w:highlight w:val="none"/>
        </w:rPr>
      </w:pPr>
      <w:r>
        <w:rPr>
          <w:rFonts w:hint="eastAsia" w:ascii="仿宋" w:hAnsi="仿宋" w:eastAsia="仿宋" w:cs="仿宋"/>
          <w:b/>
          <w:color w:val="auto"/>
          <w:kern w:val="0"/>
          <w:szCs w:val="21"/>
          <w:highlight w:val="none"/>
        </w:rPr>
        <w:t>附件3：监狱企业证明文件（若是）</w:t>
      </w:r>
    </w:p>
    <w:p w14:paraId="335693B6">
      <w:pPr>
        <w:spacing w:line="500" w:lineRule="exact"/>
        <w:jc w:val="left"/>
        <w:rPr>
          <w:rFonts w:ascii="仿宋" w:hAnsi="仿宋" w:eastAsia="仿宋" w:cs="仿宋"/>
          <w:b/>
          <w:bCs/>
          <w:color w:val="auto"/>
          <w:szCs w:val="21"/>
          <w:highlight w:val="none"/>
        </w:rPr>
      </w:pPr>
    </w:p>
    <w:p w14:paraId="5FD7AA35">
      <w:pPr>
        <w:spacing w:line="500" w:lineRule="exact"/>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（三）监狱企业证明文件（若为监狱企业的才须填写）</w:t>
      </w:r>
    </w:p>
    <w:p w14:paraId="7E260738">
      <w:pPr>
        <w:pStyle w:val="2"/>
        <w:spacing w:line="400" w:lineRule="exact"/>
        <w:ind w:firstLine="420" w:firstLineChars="200"/>
        <w:rPr>
          <w:rFonts w:ascii="仿宋" w:hAnsi="仿宋" w:eastAsia="仿宋" w:cs="仿宋"/>
          <w:color w:val="auto"/>
          <w:szCs w:val="21"/>
          <w:highlight w:val="none"/>
        </w:rPr>
      </w:pPr>
    </w:p>
    <w:p w14:paraId="70BF89C9">
      <w:pPr>
        <w:pStyle w:val="2"/>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根据《财政部 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F634CDE">
      <w:pPr>
        <w:pStyle w:val="2"/>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监狱企业参加政府采购活动时，应当提供由省级以上监狱管理局、戒毒管理局（含新疆生产建设兵团）出具的属于监狱企业的证明文件。</w:t>
      </w:r>
    </w:p>
    <w:p w14:paraId="6D1D4336">
      <w:pPr>
        <w:pStyle w:val="2"/>
        <w:spacing w:line="400" w:lineRule="exact"/>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注：符合条件的监狱企业在参加政府采购活动时，应当按《财政部 司法部关于政府采购支持监狱企业发展有关问题的通知》（财库[2014]68号）提供规定的《监狱企业证明文件》，并对声明的真实性负责。</w:t>
      </w:r>
    </w:p>
    <w:p w14:paraId="52BBC993">
      <w:pPr>
        <w:pStyle w:val="2"/>
        <w:spacing w:line="400" w:lineRule="exact"/>
        <w:ind w:firstLine="420" w:firstLineChars="200"/>
        <w:rPr>
          <w:rFonts w:ascii="仿宋" w:hAnsi="仿宋" w:eastAsia="仿宋" w:cs="仿宋"/>
          <w:color w:val="auto"/>
          <w:szCs w:val="21"/>
          <w:highlight w:val="none"/>
        </w:rPr>
      </w:pPr>
    </w:p>
    <w:p w14:paraId="38F89220">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（全称）（盖单位公章）</w:t>
      </w:r>
    </w:p>
    <w:p w14:paraId="6D7D755B">
      <w:pPr>
        <w:spacing w:line="360" w:lineRule="auto"/>
        <w:ind w:firstLine="2520" w:firstLineChars="1200"/>
        <w:rPr>
          <w:rFonts w:ascii="仿宋" w:hAnsi="仿宋" w:eastAsia="仿宋" w:cs="仿宋"/>
          <w:color w:val="auto"/>
          <w:szCs w:val="21"/>
          <w:highlight w:val="none"/>
          <w:u w:val="single"/>
        </w:rPr>
      </w:pPr>
      <w:r>
        <w:rPr>
          <w:rFonts w:hint="eastAsia" w:ascii="仿宋" w:hAnsi="仿宋" w:eastAsia="仿宋" w:cs="仿宋"/>
          <w:color w:val="auto"/>
          <w:szCs w:val="21"/>
          <w:highlight w:val="none"/>
        </w:rPr>
        <w:t>法定代表人（或委托代理人）：</w:t>
      </w:r>
      <w:r>
        <w:rPr>
          <w:rFonts w:hint="eastAsia" w:ascii="仿宋" w:hAnsi="仿宋" w:eastAsia="仿宋" w:cs="仿宋"/>
          <w:color w:val="auto"/>
          <w:szCs w:val="21"/>
          <w:highlight w:val="none"/>
          <w:u w:val="single"/>
        </w:rPr>
        <w:t xml:space="preserve">       （签字或盖章）</w:t>
      </w:r>
    </w:p>
    <w:p w14:paraId="38E285FF">
      <w:pPr>
        <w:spacing w:line="360" w:lineRule="auto"/>
        <w:ind w:firstLine="2520" w:firstLineChars="1200"/>
        <w:rPr>
          <w:rFonts w:ascii="仿宋" w:hAnsi="仿宋" w:eastAsia="仿宋" w:cs="仿宋"/>
          <w:color w:val="auto"/>
          <w:szCs w:val="21"/>
          <w:highlight w:val="none"/>
        </w:rPr>
      </w:pPr>
      <w:r>
        <w:rPr>
          <w:rFonts w:hint="eastAsia" w:ascii="仿宋" w:hAnsi="仿宋" w:eastAsia="仿宋" w:cs="仿宋"/>
          <w:color w:val="auto"/>
          <w:szCs w:val="21"/>
          <w:highlight w:val="none"/>
        </w:rPr>
        <w:t>日期：年月日</w:t>
      </w:r>
    </w:p>
    <w:p w14:paraId="6A80ED79">
      <w:pPr>
        <w:rPr>
          <w:rFonts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br w:type="page"/>
      </w:r>
    </w:p>
    <w:p w14:paraId="7CE7BD20">
      <w:pPr>
        <w:keepNext/>
        <w:keepLines/>
        <w:tabs>
          <w:tab w:val="left" w:pos="360"/>
        </w:tabs>
        <w:spacing w:after="120" w:line="480" w:lineRule="exact"/>
        <w:jc w:val="lef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 xml:space="preserve">格式1-2：特定条件 </w:t>
      </w:r>
    </w:p>
    <w:p w14:paraId="782BEC49">
      <w:pPr>
        <w:spacing w:line="480" w:lineRule="exact"/>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特定条件证明文件</w:t>
      </w:r>
    </w:p>
    <w:p w14:paraId="3732040A">
      <w:pPr>
        <w:spacing w:line="420" w:lineRule="exact"/>
        <w:ind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（1）项目负责人：具备招标投标从业人员培训合格证，提供劳动合同或社保证明。</w:t>
      </w:r>
    </w:p>
    <w:p w14:paraId="4A5EB820">
      <w:pPr>
        <w:spacing w:line="420" w:lineRule="exact"/>
        <w:ind w:firstLine="420" w:firstLineChars="200"/>
        <w:rPr>
          <w:rFonts w:hint="eastAsia" w:ascii="仿宋" w:hAnsi="仿宋" w:eastAsia="仿宋" w:cs="仿宋"/>
          <w:bCs/>
          <w:color w:val="auto"/>
          <w:szCs w:val="21"/>
          <w:highlight w:val="none"/>
          <w:lang w:val="en-US" w:eastAsia="zh-CN"/>
        </w:rPr>
      </w:pPr>
      <w:r>
        <w:rPr>
          <w:rFonts w:hint="eastAsia" w:ascii="仿宋" w:hAnsi="仿宋" w:eastAsia="仿宋" w:cs="仿宋"/>
          <w:bCs/>
          <w:color w:val="auto"/>
          <w:szCs w:val="21"/>
          <w:highlight w:val="none"/>
          <w:lang w:val="en-US" w:eastAsia="zh-CN"/>
        </w:rPr>
        <w:t>（2）项目组成员：拟派往本项目的项目组成员不少于2人（不含项目负责人），须具备招标投标从业人员培训合格证，提供劳动合同或社保缴费证明。</w:t>
      </w:r>
    </w:p>
    <w:p w14:paraId="330C7959">
      <w:pPr>
        <w:pStyle w:val="25"/>
        <w:rPr>
          <w:rFonts w:hint="eastAsia"/>
          <w:color w:val="auto"/>
          <w:lang w:val="en-US" w:eastAsia="zh-CN"/>
        </w:rPr>
      </w:pPr>
    </w:p>
    <w:p w14:paraId="5F7BAE93">
      <w:pPr>
        <w:keepNext/>
        <w:keepLines/>
        <w:tabs>
          <w:tab w:val="left" w:pos="360"/>
        </w:tabs>
        <w:spacing w:after="120" w:line="480" w:lineRule="exact"/>
        <w:jc w:val="left"/>
        <w:rPr>
          <w:rFonts w:ascii="仿宋" w:hAnsi="仿宋" w:eastAsia="仿宋" w:cs="仿宋"/>
          <w:b/>
          <w:bCs/>
          <w:color w:val="auto"/>
          <w:szCs w:val="21"/>
          <w:highlight w:val="none"/>
        </w:rPr>
      </w:pPr>
      <w:r>
        <w:rPr>
          <w:rFonts w:hint="eastAsia" w:ascii="仿宋" w:hAnsi="仿宋" w:eastAsia="仿宋" w:cs="仿宋"/>
          <w:bCs/>
          <w:color w:val="auto"/>
          <w:kern w:val="0"/>
          <w:sz w:val="21"/>
          <w:szCs w:val="21"/>
          <w:highlight w:val="none"/>
          <w:lang w:val="en-US" w:eastAsia="zh-CN" w:bidi="ar-SA"/>
        </w:rPr>
        <w:t xml:space="preserve"> </w:t>
      </w:r>
      <w:r>
        <w:rPr>
          <w:rFonts w:hint="eastAsia" w:ascii="仿宋" w:hAnsi="仿宋" w:eastAsia="仿宋" w:cs="仿宋"/>
          <w:b/>
          <w:color w:val="auto"/>
          <w:kern w:val="0"/>
          <w:szCs w:val="21"/>
          <w:highlight w:val="none"/>
        </w:rPr>
        <w:t>格式1-3：</w:t>
      </w:r>
      <w:r>
        <w:rPr>
          <w:rFonts w:hint="eastAsia" w:ascii="仿宋" w:hAnsi="仿宋" w:eastAsia="仿宋" w:cs="仿宋"/>
          <w:b/>
          <w:bCs/>
          <w:color w:val="auto"/>
          <w:szCs w:val="21"/>
          <w:highlight w:val="none"/>
        </w:rPr>
        <w:t>信用查询</w:t>
      </w:r>
    </w:p>
    <w:p w14:paraId="226B0345">
      <w:pPr>
        <w:spacing w:line="480" w:lineRule="exact"/>
        <w:ind w:firstLine="422" w:firstLineChars="200"/>
        <w:rPr>
          <w:rFonts w:ascii="仿宋" w:hAnsi="仿宋" w:eastAsia="仿宋" w:cs="仿宋"/>
          <w:b/>
          <w:bCs/>
          <w:color w:val="auto"/>
          <w:szCs w:val="21"/>
          <w:highlight w:val="none"/>
        </w:rPr>
      </w:pPr>
      <w:r>
        <w:rPr>
          <w:rFonts w:hint="eastAsia" w:ascii="仿宋" w:hAnsi="仿宋" w:eastAsia="仿宋" w:cs="仿宋"/>
          <w:b/>
          <w:bCs/>
          <w:color w:val="auto"/>
          <w:szCs w:val="21"/>
          <w:highlight w:val="none"/>
        </w:rPr>
        <w:t>未列入政府采购严重违法失信行为记录：</w:t>
      </w:r>
    </w:p>
    <w:p w14:paraId="239F4A3E">
      <w:pPr>
        <w:pStyle w:val="15"/>
        <w:autoSpaceDE/>
        <w:autoSpaceDN/>
        <w:adjustRightInd/>
        <w:spacing w:line="480" w:lineRule="exact"/>
        <w:ind w:firstLine="420" w:firstLineChars="200"/>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供应商应在“信用中国”网站(www.creditchina.gov.cn)未被列入失信被执行人记录、重大税收违法失信主体、</w:t>
      </w:r>
      <w:r>
        <w:rPr>
          <w:rFonts w:hint="eastAsia" w:ascii="仿宋" w:hAnsi="仿宋" w:eastAsia="仿宋" w:cs="仿宋"/>
          <w:bCs/>
          <w:color w:val="auto"/>
          <w:kern w:val="2"/>
          <w:sz w:val="21"/>
          <w:szCs w:val="21"/>
          <w:highlight w:val="none"/>
        </w:rPr>
        <w:t>政府采购严重违法失信行为记录名单</w:t>
      </w:r>
      <w:r>
        <w:rPr>
          <w:rFonts w:hint="eastAsia" w:ascii="仿宋" w:hAnsi="仿宋" w:eastAsia="仿宋" w:cs="仿宋"/>
          <w:bCs/>
          <w:color w:val="auto"/>
          <w:sz w:val="21"/>
          <w:szCs w:val="21"/>
          <w:highlight w:val="none"/>
        </w:rPr>
        <w:t>且在中国政府采购网(www.ccgp.gov.cn)没有政府采购严重违法失信行为记录(被禁止在一定期限内参加政府采购活动但期限届满的除外)，参与本项目的供应商信用查询截止时点：响应文件递交截止当天查询，并提交磋商小组(查询结果以采购人、采购代理机构查询结果为准，并将查询记录留存，供应商无需再提供)。</w:t>
      </w:r>
    </w:p>
    <w:p w14:paraId="6E5BC060">
      <w:pPr>
        <w:rPr>
          <w:rFonts w:ascii="仿宋" w:hAnsi="仿宋" w:eastAsia="仿宋" w:cs="仿宋"/>
          <w:color w:val="auto"/>
          <w:szCs w:val="21"/>
          <w:highlight w:val="none"/>
        </w:rPr>
      </w:pPr>
      <w:r>
        <w:rPr>
          <w:rFonts w:hint="eastAsia" w:ascii="仿宋" w:hAnsi="仿宋" w:eastAsia="仿宋" w:cs="仿宋"/>
          <w:b/>
          <w:color w:val="auto"/>
          <w:kern w:val="0"/>
          <w:szCs w:val="21"/>
          <w:highlight w:val="none"/>
        </w:rPr>
        <w:t>格式1-4：其他条件</w:t>
      </w:r>
    </w:p>
    <w:p w14:paraId="3098974D">
      <w:pPr>
        <w:pStyle w:val="15"/>
        <w:autoSpaceDE/>
        <w:autoSpaceDN/>
        <w:adjustRightInd/>
        <w:spacing w:line="4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单位负责人为同一人或者存在直接控股、管理关系的不同供应商，不得参加同一合同项下的政府采购活动。为采购项目提供整体设计、规范编制或者项目管理、监理、检测等服务的供应商，不得再参加该采购项目的其他采购活动。（提供承诺或书面声明，格式自拟）；</w:t>
      </w:r>
    </w:p>
    <w:p w14:paraId="0C3E42B0">
      <w:pPr>
        <w:pStyle w:val="15"/>
        <w:autoSpaceDE/>
        <w:autoSpaceDN/>
        <w:adjustRightInd/>
        <w:spacing w:line="4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2.本项目不接受联合体参与磋商。（提供非联合体磋商承诺或书面声明，格式自拟）。</w:t>
      </w:r>
    </w:p>
    <w:p w14:paraId="5A811AF9">
      <w:pPr>
        <w:pStyle w:val="15"/>
        <w:autoSpaceDE/>
        <w:autoSpaceDN/>
        <w:adjustRightInd/>
        <w:spacing w:line="480" w:lineRule="exact"/>
        <w:ind w:firstLine="480" w:firstLineChars="200"/>
        <w:rPr>
          <w:rFonts w:ascii="仿宋" w:hAnsi="仿宋" w:eastAsia="仿宋" w:cs="仿宋"/>
          <w:color w:val="auto"/>
          <w:sz w:val="24"/>
          <w:highlight w:val="none"/>
        </w:rPr>
      </w:pPr>
    </w:p>
    <w:p w14:paraId="1E2F679A">
      <w:pPr>
        <w:spacing w:line="480" w:lineRule="exact"/>
        <w:rPr>
          <w:rFonts w:ascii="仿宋" w:hAnsi="仿宋" w:eastAsia="仿宋" w:cs="仿宋"/>
          <w:color w:val="auto"/>
          <w:sz w:val="24"/>
          <w:highlight w:val="none"/>
        </w:rPr>
      </w:pPr>
    </w:p>
    <w:p w14:paraId="1EF7810D">
      <w:pPr>
        <w:pStyle w:val="15"/>
        <w:spacing w:line="360" w:lineRule="auto"/>
        <w:ind w:firstLine="562" w:firstLineChars="200"/>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格式1-5：</w:t>
      </w:r>
    </w:p>
    <w:p w14:paraId="7DB99554">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法定代表人资格证明书</w:t>
      </w:r>
    </w:p>
    <w:p w14:paraId="50422FA5">
      <w:pPr>
        <w:spacing w:line="360" w:lineRule="auto"/>
        <w:jc w:val="center"/>
        <w:rPr>
          <w:rFonts w:ascii="仿宋" w:hAnsi="仿宋" w:eastAsia="仿宋" w:cs="仿宋"/>
          <w:b/>
          <w:color w:val="auto"/>
          <w:sz w:val="30"/>
          <w:szCs w:val="30"/>
          <w:highlight w:val="none"/>
        </w:rPr>
      </w:pPr>
    </w:p>
    <w:p w14:paraId="1B88E5C5">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14:paraId="5F9D802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单位性质：</w:t>
      </w:r>
    </w:p>
    <w:p w14:paraId="4EB54C0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成立时间：年月日</w:t>
      </w:r>
    </w:p>
    <w:p w14:paraId="406F28E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14:paraId="4098D84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姓名：性别：年龄：职务：</w:t>
      </w:r>
    </w:p>
    <w:p w14:paraId="47BAD697">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系（供应商名称）的法定代表人。</w:t>
      </w:r>
    </w:p>
    <w:p w14:paraId="7308A990">
      <w:pPr>
        <w:spacing w:line="360" w:lineRule="auto"/>
        <w:ind w:firstLine="420" w:firstLineChars="200"/>
        <w:rPr>
          <w:rFonts w:ascii="仿宋" w:hAnsi="仿宋" w:eastAsia="仿宋" w:cs="仿宋"/>
          <w:color w:val="auto"/>
          <w:szCs w:val="21"/>
          <w:highlight w:val="none"/>
        </w:rPr>
      </w:pPr>
    </w:p>
    <w:p w14:paraId="71D9CB6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p w14:paraId="559B4560">
      <w:pPr>
        <w:tabs>
          <w:tab w:val="left" w:pos="720"/>
          <w:tab w:val="left" w:pos="900"/>
        </w:tabs>
        <w:spacing w:line="360" w:lineRule="auto"/>
        <w:ind w:firstLine="420" w:firstLineChars="200"/>
        <w:rPr>
          <w:rFonts w:ascii="仿宋" w:hAnsi="仿宋" w:eastAsia="仿宋" w:cs="仿宋"/>
          <w:color w:val="auto"/>
          <w:szCs w:val="21"/>
          <w:highlight w:val="none"/>
        </w:rPr>
      </w:pPr>
    </w:p>
    <w:p w14:paraId="462B55DB">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(盖单位公章)         </w:t>
      </w:r>
    </w:p>
    <w:p w14:paraId="7FCB2C9C">
      <w:pPr>
        <w:spacing w:line="360" w:lineRule="auto"/>
        <w:jc w:val="right"/>
        <w:rPr>
          <w:rFonts w:ascii="仿宋" w:hAnsi="仿宋" w:eastAsia="仿宋" w:cs="仿宋"/>
          <w:color w:val="auto"/>
          <w:szCs w:val="21"/>
          <w:highlight w:val="none"/>
        </w:rPr>
      </w:pPr>
    </w:p>
    <w:p w14:paraId="30770311">
      <w:pPr>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日  期：    年     月     日</w:t>
      </w:r>
    </w:p>
    <w:p w14:paraId="3C35F6E8">
      <w:pPr>
        <w:spacing w:line="360" w:lineRule="auto"/>
        <w:ind w:firstLine="552" w:firstLineChars="262"/>
        <w:rPr>
          <w:rFonts w:ascii="仿宋" w:hAnsi="仿宋" w:eastAsia="仿宋" w:cs="仿宋"/>
          <w:b/>
          <w:color w:val="auto"/>
          <w:szCs w:val="21"/>
          <w:highlight w:val="none"/>
        </w:rPr>
      </w:pPr>
    </w:p>
    <w:p w14:paraId="379EC6C4">
      <w:pPr>
        <w:spacing w:line="360" w:lineRule="auto"/>
        <w:jc w:val="center"/>
        <w:rPr>
          <w:rFonts w:ascii="仿宋" w:hAnsi="仿宋" w:eastAsia="仿宋" w:cs="仿宋"/>
          <w:color w:val="auto"/>
          <w:sz w:val="24"/>
          <w:szCs w:val="22"/>
          <w:highlight w:val="none"/>
        </w:rPr>
      </w:pPr>
      <w:r>
        <w:rPr>
          <w:rFonts w:hint="eastAsia" w:ascii="仿宋" w:hAnsi="仿宋" w:eastAsia="仿宋" w:cs="仿宋"/>
          <w:b/>
          <w:color w:val="auto"/>
          <w:szCs w:val="22"/>
          <w:highlight w:val="none"/>
        </w:rPr>
        <w:t>(附法定代表人身份证双面复印件)</w:t>
      </w:r>
    </w:p>
    <w:tbl>
      <w:tblPr>
        <w:tblStyle w:val="27"/>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7F40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9" w:hRule="atLeast"/>
        </w:trPr>
        <w:tc>
          <w:tcPr>
            <w:tcW w:w="4728" w:type="dxa"/>
            <w:vAlign w:val="center"/>
          </w:tcPr>
          <w:p w14:paraId="778285D5">
            <w:pPr>
              <w:spacing w:line="360" w:lineRule="auto"/>
              <w:jc w:val="center"/>
              <w:rPr>
                <w:rFonts w:ascii="仿宋" w:hAnsi="仿宋" w:eastAsia="仿宋" w:cs="仿宋"/>
                <w:color w:val="auto"/>
                <w:sz w:val="24"/>
                <w:szCs w:val="22"/>
                <w:highlight w:val="none"/>
              </w:rPr>
            </w:pPr>
          </w:p>
        </w:tc>
        <w:tc>
          <w:tcPr>
            <w:tcW w:w="4729" w:type="dxa"/>
            <w:vAlign w:val="center"/>
          </w:tcPr>
          <w:p w14:paraId="353FE267">
            <w:pPr>
              <w:spacing w:line="360" w:lineRule="auto"/>
              <w:jc w:val="center"/>
              <w:rPr>
                <w:rFonts w:ascii="仿宋" w:hAnsi="仿宋" w:eastAsia="仿宋" w:cs="仿宋"/>
                <w:color w:val="auto"/>
                <w:sz w:val="24"/>
                <w:szCs w:val="22"/>
                <w:highlight w:val="none"/>
              </w:rPr>
            </w:pPr>
          </w:p>
        </w:tc>
      </w:tr>
    </w:tbl>
    <w:p w14:paraId="1F441D6D">
      <w:pPr>
        <w:spacing w:line="360" w:lineRule="auto"/>
        <w:rPr>
          <w:rFonts w:ascii="仿宋" w:hAnsi="仿宋" w:eastAsia="仿宋" w:cs="仿宋"/>
          <w:color w:val="auto"/>
          <w:szCs w:val="21"/>
          <w:highlight w:val="none"/>
        </w:rPr>
      </w:pPr>
    </w:p>
    <w:p w14:paraId="04AA6E77">
      <w:pPr>
        <w:pStyle w:val="15"/>
        <w:spacing w:line="360" w:lineRule="auto"/>
        <w:rPr>
          <w:rFonts w:ascii="仿宋" w:hAnsi="仿宋" w:eastAsia="仿宋" w:cs="仿宋"/>
          <w:b/>
          <w:color w:val="auto"/>
          <w:sz w:val="28"/>
          <w:szCs w:val="28"/>
          <w:highlight w:val="none"/>
        </w:rPr>
      </w:pPr>
      <w:r>
        <w:rPr>
          <w:rFonts w:hint="eastAsia" w:ascii="仿宋" w:hAnsi="仿宋" w:eastAsia="仿宋" w:cs="仿宋"/>
          <w:b/>
          <w:color w:val="auto"/>
          <w:szCs w:val="21"/>
          <w:highlight w:val="none"/>
        </w:rPr>
        <w:br w:type="page"/>
      </w:r>
      <w:r>
        <w:rPr>
          <w:rFonts w:hint="eastAsia" w:ascii="仿宋" w:hAnsi="仿宋" w:eastAsia="仿宋" w:cs="仿宋"/>
          <w:b/>
          <w:color w:val="auto"/>
          <w:sz w:val="28"/>
          <w:szCs w:val="28"/>
          <w:highlight w:val="none"/>
        </w:rPr>
        <w:t>格式1-6：</w:t>
      </w:r>
    </w:p>
    <w:p w14:paraId="016C6E2A">
      <w:pPr>
        <w:spacing w:line="360" w:lineRule="auto"/>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法定代表人授权委托书</w:t>
      </w:r>
    </w:p>
    <w:p w14:paraId="58790B88">
      <w:pPr>
        <w:spacing w:line="360" w:lineRule="auto"/>
        <w:rPr>
          <w:rFonts w:ascii="仿宋" w:hAnsi="仿宋" w:eastAsia="仿宋" w:cs="仿宋"/>
          <w:b/>
          <w:bCs/>
          <w:color w:val="auto"/>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（采购人名称）</w:t>
      </w:r>
    </w:p>
    <w:p w14:paraId="1191EB5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本授权书声明：</w:t>
      </w:r>
      <w:r>
        <w:rPr>
          <w:rFonts w:hint="eastAsia" w:ascii="仿宋" w:hAnsi="仿宋" w:eastAsia="仿宋" w:cs="仿宋"/>
          <w:color w:val="auto"/>
          <w:szCs w:val="21"/>
          <w:highlight w:val="none"/>
          <w:u w:val="single"/>
        </w:rPr>
        <w:t xml:space="preserve">       （供应商全称）     </w:t>
      </w:r>
      <w:r>
        <w:rPr>
          <w:rFonts w:hint="eastAsia" w:ascii="仿宋" w:hAnsi="仿宋" w:eastAsia="仿宋" w:cs="仿宋"/>
          <w:color w:val="auto"/>
          <w:szCs w:val="21"/>
          <w:highlight w:val="none"/>
        </w:rPr>
        <w:t>的法定代表人代表本公司授权</w:t>
      </w:r>
      <w:r>
        <w:rPr>
          <w:rFonts w:hint="eastAsia" w:ascii="仿宋" w:hAnsi="仿宋" w:eastAsia="仿宋" w:cs="仿宋"/>
          <w:color w:val="auto"/>
          <w:szCs w:val="21"/>
          <w:highlight w:val="none"/>
          <w:u w:val="single"/>
        </w:rPr>
        <w:t xml:space="preserve">   （委托代理人姓名）   </w:t>
      </w:r>
      <w:r>
        <w:rPr>
          <w:rFonts w:hint="eastAsia" w:ascii="仿宋" w:hAnsi="仿宋" w:eastAsia="仿宋" w:cs="仿宋"/>
          <w:color w:val="auto"/>
          <w:szCs w:val="21"/>
          <w:highlight w:val="none"/>
        </w:rPr>
        <w:t>为本公司合法代理人，以本单位名义亲自参加贵方组织的</w:t>
      </w:r>
      <w:r>
        <w:rPr>
          <w:rFonts w:hint="eastAsia" w:ascii="仿宋" w:hAnsi="仿宋" w:eastAsia="仿宋" w:cs="仿宋"/>
          <w:color w:val="auto"/>
          <w:szCs w:val="21"/>
          <w:highlight w:val="none"/>
          <w:u w:val="single"/>
        </w:rPr>
        <w:t xml:space="preserve">    （采购项目名称） </w:t>
      </w:r>
      <w:r>
        <w:rPr>
          <w:rFonts w:hint="eastAsia" w:ascii="仿宋" w:hAnsi="仿宋" w:eastAsia="仿宋" w:cs="仿宋"/>
          <w:color w:val="auto"/>
          <w:szCs w:val="21"/>
          <w:highlight w:val="none"/>
        </w:rPr>
        <w:t>（项目编号：）的磋商。代理人在本项目磋商过程中所签署的一切文件和处理与之有关的一切事务，我方均予承认。</w:t>
      </w:r>
    </w:p>
    <w:p w14:paraId="08255AC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代理人无转委托权。</w:t>
      </w:r>
    </w:p>
    <w:p w14:paraId="3CDE3735">
      <w:pPr>
        <w:spacing w:line="360" w:lineRule="auto"/>
        <w:ind w:firstLine="420" w:firstLineChars="200"/>
        <w:rPr>
          <w:rFonts w:ascii="仿宋" w:hAnsi="仿宋" w:eastAsia="仿宋" w:cs="仿宋"/>
          <w:color w:val="auto"/>
          <w:szCs w:val="21"/>
          <w:highlight w:val="none"/>
        </w:rPr>
      </w:pPr>
    </w:p>
    <w:p w14:paraId="7EDE015B">
      <w:pPr>
        <w:spacing w:line="600" w:lineRule="exact"/>
        <w:ind w:right="-27" w:firstLine="621" w:firstLineChars="296"/>
        <w:rPr>
          <w:rFonts w:ascii="仿宋" w:hAnsi="仿宋" w:eastAsia="仿宋" w:cs="仿宋"/>
          <w:color w:val="auto"/>
          <w:szCs w:val="21"/>
          <w:highlight w:val="none"/>
          <w:u w:val="single"/>
        </w:rPr>
      </w:pPr>
      <w:r>
        <w:rPr>
          <w:rFonts w:hint="eastAsia" w:ascii="仿宋" w:hAnsi="仿宋" w:eastAsia="仿宋" w:cs="仿宋"/>
          <w:color w:val="auto"/>
          <w:szCs w:val="21"/>
          <w:highlight w:val="none"/>
        </w:rPr>
        <w:t>委托代理人：</w:t>
      </w:r>
      <w:r>
        <w:rPr>
          <w:rFonts w:hint="eastAsia" w:ascii="仿宋" w:hAnsi="仿宋" w:eastAsia="仿宋" w:cs="仿宋"/>
          <w:color w:val="auto"/>
          <w:szCs w:val="21"/>
          <w:highlight w:val="none"/>
          <w:u w:val="single"/>
        </w:rPr>
        <w:t xml:space="preserve">        (签字或盖章)</w:t>
      </w:r>
      <w:r>
        <w:rPr>
          <w:rFonts w:hint="eastAsia" w:ascii="仿宋" w:hAnsi="仿宋" w:eastAsia="仿宋" w:cs="仿宋"/>
          <w:color w:val="auto"/>
          <w:szCs w:val="21"/>
          <w:highlight w:val="none"/>
        </w:rPr>
        <w:t xml:space="preserve">   性别：   年龄：</w:t>
      </w:r>
    </w:p>
    <w:p w14:paraId="1D074862">
      <w:pPr>
        <w:spacing w:line="600" w:lineRule="exact"/>
        <w:ind w:firstLine="621" w:firstLineChars="296"/>
        <w:rPr>
          <w:rFonts w:ascii="仿宋" w:hAnsi="仿宋" w:eastAsia="仿宋" w:cs="仿宋"/>
          <w:color w:val="auto"/>
          <w:szCs w:val="21"/>
          <w:highlight w:val="none"/>
          <w:u w:val="single"/>
        </w:rPr>
      </w:pPr>
      <w:r>
        <w:rPr>
          <w:rFonts w:hint="eastAsia" w:ascii="仿宋" w:hAnsi="仿宋" w:eastAsia="仿宋" w:cs="仿宋"/>
          <w:color w:val="auto"/>
          <w:szCs w:val="21"/>
          <w:highlight w:val="none"/>
        </w:rPr>
        <w:t>身份证号码： 职务：</w:t>
      </w:r>
    </w:p>
    <w:p w14:paraId="4C41D038">
      <w:pPr>
        <w:spacing w:line="600" w:lineRule="exact"/>
        <w:ind w:firstLine="621" w:firstLineChars="296"/>
        <w:rPr>
          <w:rFonts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(盖单位公章)</w:t>
      </w:r>
    </w:p>
    <w:p w14:paraId="45BA8F72">
      <w:pPr>
        <w:spacing w:line="600" w:lineRule="exact"/>
        <w:ind w:firstLine="621" w:firstLineChars="296"/>
        <w:rPr>
          <w:rFonts w:ascii="仿宋" w:hAnsi="仿宋" w:eastAsia="仿宋" w:cs="仿宋"/>
          <w:color w:val="auto"/>
          <w:szCs w:val="21"/>
          <w:highlight w:val="none"/>
        </w:rPr>
      </w:pPr>
      <w:r>
        <w:rPr>
          <w:rFonts w:hint="eastAsia" w:ascii="仿宋" w:hAnsi="仿宋" w:eastAsia="仿宋" w:cs="仿宋"/>
          <w:color w:val="auto"/>
          <w:szCs w:val="21"/>
          <w:highlight w:val="none"/>
        </w:rPr>
        <w:t>法定代表人：</w:t>
      </w:r>
      <w:r>
        <w:rPr>
          <w:rFonts w:hint="eastAsia" w:ascii="仿宋" w:hAnsi="仿宋" w:eastAsia="仿宋" w:cs="仿宋"/>
          <w:color w:val="auto"/>
          <w:szCs w:val="21"/>
          <w:highlight w:val="none"/>
          <w:u w:val="single"/>
        </w:rPr>
        <w:t xml:space="preserve">                                         (签字或盖章)</w:t>
      </w:r>
    </w:p>
    <w:p w14:paraId="58B66537">
      <w:pPr>
        <w:spacing w:line="600" w:lineRule="exact"/>
        <w:ind w:firstLine="621" w:firstLineChars="296"/>
        <w:rPr>
          <w:rFonts w:ascii="仿宋" w:hAnsi="仿宋" w:eastAsia="仿宋" w:cs="仿宋"/>
          <w:color w:val="auto"/>
          <w:szCs w:val="21"/>
          <w:highlight w:val="none"/>
        </w:rPr>
      </w:pPr>
      <w:r>
        <w:rPr>
          <w:rFonts w:hint="eastAsia" w:ascii="仿宋" w:hAnsi="仿宋" w:eastAsia="仿宋" w:cs="仿宋"/>
          <w:color w:val="auto"/>
          <w:szCs w:val="21"/>
          <w:highlight w:val="none"/>
        </w:rPr>
        <w:t>授权委托日期：年月日</w:t>
      </w:r>
    </w:p>
    <w:p w14:paraId="222F5AF6">
      <w:pPr>
        <w:spacing w:line="360" w:lineRule="auto"/>
        <w:jc w:val="center"/>
        <w:rPr>
          <w:rFonts w:ascii="仿宋" w:hAnsi="仿宋" w:eastAsia="仿宋" w:cs="仿宋"/>
          <w:b/>
          <w:color w:val="auto"/>
          <w:szCs w:val="22"/>
          <w:highlight w:val="none"/>
        </w:rPr>
      </w:pPr>
      <w:r>
        <w:rPr>
          <w:rFonts w:hint="eastAsia" w:ascii="仿宋" w:hAnsi="仿宋" w:eastAsia="仿宋" w:cs="仿宋"/>
          <w:b/>
          <w:color w:val="auto"/>
          <w:szCs w:val="22"/>
          <w:highlight w:val="none"/>
        </w:rPr>
        <w:t>(附</w:t>
      </w:r>
      <w:r>
        <w:rPr>
          <w:rFonts w:hint="eastAsia" w:ascii="仿宋" w:hAnsi="仿宋" w:eastAsia="仿宋" w:cs="仿宋"/>
          <w:b/>
          <w:color w:val="auto"/>
          <w:szCs w:val="22"/>
          <w:highlight w:val="none"/>
          <w:lang w:eastAsia="zh-CN"/>
        </w:rPr>
        <w:t>：</w:t>
      </w:r>
      <w:r>
        <w:rPr>
          <w:rFonts w:hint="eastAsia" w:ascii="仿宋" w:hAnsi="仿宋" w:eastAsia="仿宋" w:cs="仿宋"/>
          <w:b/>
          <w:color w:val="auto"/>
          <w:szCs w:val="22"/>
          <w:highlight w:val="none"/>
        </w:rPr>
        <w:t>被授权的代理人身份证双面复印件)</w:t>
      </w:r>
    </w:p>
    <w:tbl>
      <w:tblPr>
        <w:tblStyle w:val="27"/>
        <w:tblW w:w="9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8"/>
        <w:gridCol w:w="4729"/>
      </w:tblGrid>
      <w:tr w14:paraId="3A7D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4728" w:type="dxa"/>
            <w:vAlign w:val="center"/>
          </w:tcPr>
          <w:p w14:paraId="4D5B19A6">
            <w:pPr>
              <w:spacing w:line="360" w:lineRule="auto"/>
              <w:jc w:val="center"/>
              <w:rPr>
                <w:rFonts w:ascii="仿宋" w:hAnsi="仿宋" w:eastAsia="仿宋" w:cs="仿宋"/>
                <w:color w:val="auto"/>
                <w:sz w:val="24"/>
                <w:szCs w:val="22"/>
                <w:highlight w:val="none"/>
              </w:rPr>
            </w:pPr>
          </w:p>
        </w:tc>
        <w:tc>
          <w:tcPr>
            <w:tcW w:w="4729" w:type="dxa"/>
            <w:vAlign w:val="center"/>
          </w:tcPr>
          <w:p w14:paraId="49127A89">
            <w:pPr>
              <w:spacing w:line="360" w:lineRule="auto"/>
              <w:jc w:val="center"/>
              <w:rPr>
                <w:rFonts w:ascii="仿宋" w:hAnsi="仿宋" w:eastAsia="仿宋" w:cs="仿宋"/>
                <w:color w:val="auto"/>
                <w:sz w:val="24"/>
                <w:szCs w:val="22"/>
                <w:highlight w:val="none"/>
              </w:rPr>
            </w:pPr>
          </w:p>
        </w:tc>
      </w:tr>
    </w:tbl>
    <w:p w14:paraId="2AF8409D">
      <w:pPr>
        <w:spacing w:line="360" w:lineRule="auto"/>
        <w:ind w:firstLine="422" w:firstLineChars="200"/>
        <w:rPr>
          <w:rFonts w:ascii="仿宋" w:hAnsi="仿宋" w:eastAsia="仿宋" w:cs="仿宋"/>
          <w:b/>
          <w:color w:val="auto"/>
          <w:szCs w:val="21"/>
          <w:highlight w:val="none"/>
        </w:rPr>
      </w:pPr>
      <w:r>
        <w:rPr>
          <w:rFonts w:hint="eastAsia" w:ascii="仿宋" w:hAnsi="仿宋" w:eastAsia="仿宋" w:cs="仿宋"/>
          <w:b/>
          <w:color w:val="auto"/>
          <w:szCs w:val="21"/>
          <w:highlight w:val="none"/>
        </w:rPr>
        <w:t>注：代理人参与磋商会时，应提供本人身份证（如非中国国籍应提供护照）原件交由磋商小组核验。</w:t>
      </w:r>
    </w:p>
    <w:p w14:paraId="3836A68E">
      <w:pPr>
        <w:tabs>
          <w:tab w:val="left" w:pos="1021"/>
        </w:tabs>
        <w:rPr>
          <w:rFonts w:ascii="仿宋" w:hAnsi="仿宋" w:eastAsia="仿宋" w:cs="仿宋"/>
          <w:color w:val="auto"/>
          <w:sz w:val="32"/>
          <w:highlight w:val="none"/>
        </w:rPr>
      </w:pPr>
      <w:r>
        <w:rPr>
          <w:rFonts w:hint="eastAsia" w:ascii="仿宋" w:hAnsi="仿宋" w:eastAsia="仿宋" w:cs="仿宋"/>
          <w:color w:val="auto"/>
          <w:szCs w:val="21"/>
          <w:highlight w:val="none"/>
        </w:rPr>
        <w:br w:type="page"/>
      </w:r>
    </w:p>
    <w:p w14:paraId="7240B088">
      <w:pPr>
        <w:pStyle w:val="4"/>
        <w:spacing w:before="0"/>
        <w:ind w:left="425" w:firstLine="0"/>
        <w:rPr>
          <w:rFonts w:ascii="仿宋" w:hAnsi="仿宋" w:eastAsia="仿宋" w:cs="仿宋"/>
          <w:bCs w:val="0"/>
          <w:color w:val="auto"/>
          <w:sz w:val="32"/>
          <w:highlight w:val="none"/>
        </w:rPr>
      </w:pPr>
      <w:bookmarkStart w:id="131" w:name="_Toc25827"/>
      <w:r>
        <w:rPr>
          <w:rFonts w:hint="eastAsia" w:ascii="仿宋" w:hAnsi="仿宋" w:eastAsia="仿宋" w:cs="仿宋"/>
          <w:bCs w:val="0"/>
          <w:color w:val="auto"/>
          <w:sz w:val="32"/>
          <w:highlight w:val="none"/>
        </w:rPr>
        <w:t>（三）磋商申请函</w:t>
      </w:r>
      <w:bookmarkEnd w:id="131"/>
    </w:p>
    <w:p w14:paraId="5C398789">
      <w:pPr>
        <w:spacing w:line="440" w:lineRule="exact"/>
        <w:jc w:val="left"/>
        <w:rPr>
          <w:rFonts w:ascii="仿宋" w:hAnsi="仿宋" w:eastAsia="仿宋" w:cs="仿宋"/>
          <w:b/>
          <w:bCs/>
          <w:color w:val="auto"/>
          <w:szCs w:val="21"/>
          <w:highlight w:val="none"/>
          <w:u w:val="single"/>
        </w:rPr>
      </w:pPr>
      <w:r>
        <w:rPr>
          <w:rFonts w:hint="eastAsia" w:ascii="仿宋" w:hAnsi="仿宋" w:eastAsia="仿宋" w:cs="仿宋"/>
          <w:color w:val="auto"/>
          <w:szCs w:val="21"/>
          <w:highlight w:val="none"/>
        </w:rPr>
        <w:t>致：</w:t>
      </w:r>
      <w:r>
        <w:rPr>
          <w:rFonts w:hint="eastAsia" w:ascii="仿宋" w:hAnsi="仿宋" w:eastAsia="仿宋" w:cs="仿宋"/>
          <w:color w:val="auto"/>
          <w:spacing w:val="11"/>
          <w:szCs w:val="21"/>
          <w:highlight w:val="none"/>
          <w:u w:val="single"/>
        </w:rPr>
        <w:t xml:space="preserve">（采购人） </w:t>
      </w:r>
    </w:p>
    <w:p w14:paraId="3385AB1C">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根据贵方</w:t>
      </w:r>
      <w:r>
        <w:rPr>
          <w:rFonts w:hint="eastAsia" w:ascii="仿宋" w:hAnsi="仿宋" w:eastAsia="仿宋" w:cs="仿宋"/>
          <w:color w:val="auto"/>
          <w:szCs w:val="21"/>
          <w:highlight w:val="none"/>
          <w:u w:val="single"/>
        </w:rPr>
        <w:t xml:space="preserve">      （采购项目名称）</w:t>
      </w:r>
      <w:r>
        <w:rPr>
          <w:rFonts w:hint="eastAsia" w:ascii="仿宋" w:hAnsi="仿宋" w:eastAsia="仿宋" w:cs="仿宋"/>
          <w:color w:val="auto"/>
          <w:szCs w:val="21"/>
          <w:highlight w:val="none"/>
        </w:rPr>
        <w:t>（项目编号：）的竞争性磋商文件，我方正式授权</w:t>
      </w:r>
      <w:r>
        <w:rPr>
          <w:rFonts w:hint="eastAsia" w:ascii="仿宋" w:hAnsi="仿宋" w:eastAsia="仿宋" w:cs="仿宋"/>
          <w:color w:val="auto"/>
          <w:szCs w:val="21"/>
          <w:highlight w:val="none"/>
          <w:u w:val="single"/>
        </w:rPr>
        <w:t xml:space="preserve">        （姓名和职务）</w:t>
      </w:r>
      <w:r>
        <w:rPr>
          <w:rFonts w:hint="eastAsia" w:ascii="仿宋" w:hAnsi="仿宋" w:eastAsia="仿宋" w:cs="仿宋"/>
          <w:color w:val="auto"/>
          <w:szCs w:val="21"/>
          <w:highlight w:val="none"/>
        </w:rPr>
        <w:t>全权代表</w:t>
      </w:r>
      <w:r>
        <w:rPr>
          <w:rFonts w:hint="eastAsia" w:ascii="仿宋" w:hAnsi="仿宋" w:eastAsia="仿宋" w:cs="仿宋"/>
          <w:color w:val="auto"/>
          <w:szCs w:val="21"/>
          <w:highlight w:val="none"/>
          <w:u w:val="single"/>
        </w:rPr>
        <w:t xml:space="preserve">     （供应商全称）</w:t>
      </w:r>
      <w:r>
        <w:rPr>
          <w:rFonts w:hint="eastAsia" w:ascii="仿宋" w:hAnsi="仿宋" w:eastAsia="仿宋" w:cs="仿宋"/>
          <w:color w:val="auto"/>
          <w:szCs w:val="21"/>
          <w:highlight w:val="none"/>
        </w:rPr>
        <w:t>参加磋商。据此申请书，兹宣布同意如下：</w:t>
      </w:r>
    </w:p>
    <w:p w14:paraId="09BDD81C">
      <w:pPr>
        <w:numPr>
          <w:ilvl w:val="0"/>
          <w:numId w:val="7"/>
        </w:numPr>
        <w:spacing w:line="440" w:lineRule="exact"/>
        <w:ind w:firstLine="420" w:firstLineChars="200"/>
        <w:jc w:val="left"/>
        <w:rPr>
          <w:rFonts w:ascii="仿宋" w:hAnsi="仿宋" w:eastAsia="仿宋" w:cs="仿宋"/>
          <w:color w:val="auto"/>
          <w:kern w:val="0"/>
          <w:szCs w:val="21"/>
          <w:highlight w:val="none"/>
        </w:rPr>
      </w:pPr>
      <w:r>
        <w:rPr>
          <w:rFonts w:hint="eastAsia" w:ascii="仿宋" w:hAnsi="仿宋" w:eastAsia="仿宋" w:cs="仿宋"/>
          <w:color w:val="auto"/>
          <w:szCs w:val="21"/>
          <w:highlight w:val="none"/>
        </w:rPr>
        <w:t>按竞争性磋商文件采购需求和报价表，磋商报价</w:t>
      </w:r>
      <w:r>
        <w:rPr>
          <w:rFonts w:hint="eastAsia" w:ascii="仿宋" w:hAnsi="仿宋" w:eastAsia="仿宋" w:cs="仿宋"/>
          <w:color w:val="auto"/>
          <w:szCs w:val="21"/>
          <w:highlight w:val="none"/>
          <w:lang w:val="en-US" w:eastAsia="zh-CN"/>
        </w:rPr>
        <w:t>以最终报价为准</w:t>
      </w:r>
      <w:r>
        <w:rPr>
          <w:rFonts w:hint="eastAsia" w:ascii="仿宋" w:hAnsi="仿宋" w:eastAsia="仿宋" w:cs="仿宋"/>
          <w:color w:val="auto"/>
          <w:kern w:val="0"/>
          <w:szCs w:val="21"/>
          <w:highlight w:val="none"/>
          <w:u w:val="none"/>
          <w:lang w:eastAsia="zh-CN"/>
        </w:rPr>
        <w:t>。</w:t>
      </w:r>
    </w:p>
    <w:p w14:paraId="382CA2F7">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2. 我方同意在《供应商须知》规定的递交响应文件截止日期起遵循本竞争性磋商文件，并在《供应商须知》第11条规定的有效期满之前均具有约束力。如果我方报价被接受，则至合同履行完毕、质保期满为止，本承诺书保持有效。如果在竞争性磋商文件有效期内撤回磋商申请或者有其他违约行为，我方的磋商保证金可被贵方全部或部分没收。</w:t>
      </w:r>
    </w:p>
    <w:p w14:paraId="3C4FF9F5">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 我方承诺已经具备《中华人民共和国政府采购法》中规定的参加政府采购活动的供应商应当具备的条件。</w:t>
      </w:r>
    </w:p>
    <w:p w14:paraId="252AB175">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 xml:space="preserve">4. 我方承诺严格遵守竞争性磋商文件中的各项要求及合同条款，承担合同规定的责任义务。合同履行期限：。  </w:t>
      </w:r>
    </w:p>
    <w:p w14:paraId="30FAACD4">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5. 同意应贵方要求提供与本次磋商有关的任何数据和资料，并保证数据和资料的完整性和真实性，若有违反，我方愿意承担一切后果。若贵方需要，我方愿意提供我方作出的一切承诺的证明材料。</w:t>
      </w:r>
    </w:p>
    <w:p w14:paraId="10C6C3E9">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6. 我方完全理解贵方不一定要接受最低报价的磋商供应商为成交供应商的行为。</w:t>
      </w:r>
    </w:p>
    <w:p w14:paraId="7BEE3FAE">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与本次磋商有关的正式通讯地址为：</w:t>
      </w:r>
    </w:p>
    <w:p w14:paraId="453DAB22">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地    址：           邮政编码：</w:t>
      </w:r>
    </w:p>
    <w:p w14:paraId="216DBF09">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电    话：           传    真：</w:t>
      </w:r>
      <w:r>
        <w:rPr>
          <w:rFonts w:hint="eastAsia" w:ascii="仿宋" w:hAnsi="仿宋" w:eastAsia="仿宋" w:cs="仿宋"/>
          <w:color w:val="auto"/>
          <w:szCs w:val="21"/>
          <w:highlight w:val="none"/>
          <w:u w:val="single"/>
        </w:rPr>
        <w:t>　　　　　　　　</w:t>
      </w:r>
    </w:p>
    <w:p w14:paraId="1095773A">
      <w:pPr>
        <w:spacing w:line="440" w:lineRule="exact"/>
        <w:ind w:firstLine="420" w:firstLineChars="200"/>
        <w:jc w:val="left"/>
        <w:rPr>
          <w:rFonts w:ascii="仿宋" w:hAnsi="仿宋" w:eastAsia="仿宋" w:cs="仿宋"/>
          <w:color w:val="auto"/>
          <w:szCs w:val="21"/>
          <w:highlight w:val="none"/>
          <w:u w:val="single"/>
        </w:rPr>
      </w:pPr>
      <w:r>
        <w:rPr>
          <w:rFonts w:hint="eastAsia" w:ascii="仿宋" w:hAnsi="仿宋" w:eastAsia="仿宋" w:cs="仿宋"/>
          <w:color w:val="auto"/>
          <w:szCs w:val="21"/>
          <w:highlight w:val="none"/>
        </w:rPr>
        <w:t xml:space="preserve">开户名称： </w:t>
      </w:r>
    </w:p>
    <w:p w14:paraId="3696B846">
      <w:pPr>
        <w:spacing w:line="440" w:lineRule="exact"/>
        <w:ind w:firstLine="420" w:firstLineChars="200"/>
        <w:jc w:val="left"/>
        <w:rPr>
          <w:rFonts w:ascii="仿宋" w:hAnsi="仿宋" w:eastAsia="仿宋" w:cs="仿宋"/>
          <w:color w:val="auto"/>
          <w:szCs w:val="21"/>
          <w:highlight w:val="none"/>
          <w:u w:val="single"/>
        </w:rPr>
      </w:pPr>
      <w:r>
        <w:rPr>
          <w:rFonts w:hint="eastAsia" w:ascii="仿宋" w:hAnsi="仿宋" w:eastAsia="仿宋" w:cs="仿宋"/>
          <w:color w:val="auto"/>
          <w:szCs w:val="21"/>
          <w:highlight w:val="none"/>
        </w:rPr>
        <w:t>开户银行：</w:t>
      </w:r>
    </w:p>
    <w:p w14:paraId="750512F5">
      <w:pPr>
        <w:spacing w:line="440" w:lineRule="exact"/>
        <w:ind w:firstLine="420" w:firstLineChars="200"/>
        <w:jc w:val="left"/>
        <w:rPr>
          <w:rFonts w:ascii="仿宋" w:hAnsi="仿宋" w:eastAsia="仿宋" w:cs="仿宋"/>
          <w:color w:val="auto"/>
          <w:szCs w:val="21"/>
          <w:highlight w:val="none"/>
          <w:u w:val="single"/>
        </w:rPr>
      </w:pPr>
      <w:r>
        <w:rPr>
          <w:rFonts w:hint="eastAsia" w:ascii="仿宋" w:hAnsi="仿宋" w:eastAsia="仿宋" w:cs="仿宋"/>
          <w:color w:val="auto"/>
          <w:szCs w:val="21"/>
          <w:highlight w:val="none"/>
        </w:rPr>
        <w:t>账    号：</w:t>
      </w:r>
    </w:p>
    <w:p w14:paraId="7EB637BB">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供应商：</w:t>
      </w:r>
      <w:r>
        <w:rPr>
          <w:rFonts w:hint="eastAsia" w:ascii="仿宋" w:hAnsi="仿宋" w:eastAsia="仿宋" w:cs="仿宋"/>
          <w:color w:val="auto"/>
          <w:szCs w:val="21"/>
          <w:highlight w:val="none"/>
          <w:u w:val="single"/>
        </w:rPr>
        <w:t xml:space="preserve">                                      （全称） </w:t>
      </w:r>
      <w:r>
        <w:rPr>
          <w:rFonts w:hint="eastAsia" w:ascii="仿宋" w:hAnsi="仿宋" w:eastAsia="仿宋" w:cs="仿宋"/>
          <w:color w:val="auto"/>
          <w:szCs w:val="21"/>
          <w:highlight w:val="none"/>
        </w:rPr>
        <w:t>（盖单位公章）</w:t>
      </w:r>
    </w:p>
    <w:p w14:paraId="1465C366">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法定代表人或其委托代理人：（签字或盖章）</w:t>
      </w:r>
    </w:p>
    <w:p w14:paraId="69143285">
      <w:pPr>
        <w:spacing w:line="440" w:lineRule="exact"/>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日期：年月日</w:t>
      </w:r>
    </w:p>
    <w:p w14:paraId="73D20E70">
      <w:pPr>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szCs w:val="21"/>
          <w:highlight w:val="none"/>
        </w:rPr>
        <w:t xml:space="preserve">说明：★1. </w:t>
      </w:r>
      <w:r>
        <w:rPr>
          <w:rFonts w:hint="eastAsia" w:ascii="仿宋" w:hAnsi="仿宋" w:eastAsia="仿宋" w:cs="仿宋"/>
          <w:b/>
          <w:color w:val="auto"/>
          <w:highlight w:val="none"/>
        </w:rPr>
        <w:t>未填写本表格的供应商将不能通过实质性审查。</w:t>
      </w:r>
    </w:p>
    <w:p w14:paraId="33150BE6">
      <w:pPr>
        <w:spacing w:line="360" w:lineRule="auto"/>
        <w:ind w:left="762" w:firstLine="498" w:firstLineChars="236"/>
        <w:rPr>
          <w:rFonts w:ascii="仿宋" w:hAnsi="仿宋" w:eastAsia="仿宋" w:cs="仿宋"/>
          <w:b/>
          <w:color w:val="auto"/>
          <w:szCs w:val="21"/>
          <w:highlight w:val="none"/>
        </w:rPr>
      </w:pPr>
      <w:r>
        <w:rPr>
          <w:rFonts w:hint="eastAsia" w:ascii="仿宋" w:hAnsi="仿宋" w:eastAsia="仿宋" w:cs="仿宋"/>
          <w:b/>
          <w:color w:val="auto"/>
          <w:highlight w:val="none"/>
        </w:rPr>
        <w:t xml:space="preserve">2. </w:t>
      </w:r>
      <w:r>
        <w:rPr>
          <w:rFonts w:hint="eastAsia" w:ascii="仿宋" w:hAnsi="仿宋" w:eastAsia="仿宋" w:cs="仿宋"/>
          <w:b/>
          <w:color w:val="auto"/>
          <w:szCs w:val="21"/>
          <w:highlight w:val="none"/>
        </w:rPr>
        <w:t>本承诺函内容不得擅自修改。</w:t>
      </w:r>
    </w:p>
    <w:p w14:paraId="330BD3A7">
      <w:pPr>
        <w:rPr>
          <w:rFonts w:ascii="仿宋" w:hAnsi="仿宋" w:eastAsia="仿宋" w:cs="仿宋"/>
          <w:color w:val="auto"/>
          <w:highlight w:val="none"/>
        </w:rPr>
      </w:pPr>
      <w:r>
        <w:rPr>
          <w:rFonts w:hint="eastAsia" w:ascii="仿宋" w:hAnsi="仿宋" w:eastAsia="仿宋" w:cs="仿宋"/>
          <w:color w:val="auto"/>
          <w:highlight w:val="none"/>
        </w:rPr>
        <w:br w:type="page"/>
      </w:r>
    </w:p>
    <w:p w14:paraId="6FDC5A9B">
      <w:pPr>
        <w:pStyle w:val="4"/>
        <w:spacing w:before="0"/>
        <w:ind w:left="425" w:firstLine="0"/>
        <w:rPr>
          <w:rFonts w:hint="eastAsia" w:ascii="仿宋" w:hAnsi="仿宋" w:eastAsia="仿宋" w:cs="仿宋"/>
          <w:bCs w:val="0"/>
          <w:color w:val="auto"/>
          <w:sz w:val="32"/>
          <w:highlight w:val="none"/>
          <w:lang w:eastAsia="zh-CN"/>
        </w:rPr>
      </w:pPr>
      <w:bookmarkStart w:id="132" w:name="_Toc3035"/>
      <w:r>
        <w:rPr>
          <w:rFonts w:hint="eastAsia" w:ascii="仿宋" w:hAnsi="仿宋" w:eastAsia="仿宋" w:cs="仿宋"/>
          <w:bCs w:val="0"/>
          <w:color w:val="auto"/>
          <w:sz w:val="32"/>
          <w:highlight w:val="none"/>
        </w:rPr>
        <w:t>（四）磋商报价说明或明细</w:t>
      </w:r>
      <w:bookmarkEnd w:id="132"/>
      <w:r>
        <w:rPr>
          <w:rFonts w:hint="eastAsia" w:ascii="仿宋" w:hAnsi="仿宋" w:eastAsia="仿宋" w:cs="仿宋"/>
          <w:bCs w:val="0"/>
          <w:color w:val="auto"/>
          <w:sz w:val="32"/>
          <w:highlight w:val="none"/>
          <w:lang w:eastAsia="zh-CN"/>
        </w:rPr>
        <w:t>（</w:t>
      </w:r>
      <w:r>
        <w:rPr>
          <w:rFonts w:hint="eastAsia" w:ascii="仿宋" w:hAnsi="仿宋" w:eastAsia="仿宋" w:cs="仿宋"/>
          <w:bCs w:val="0"/>
          <w:color w:val="auto"/>
          <w:sz w:val="32"/>
          <w:highlight w:val="none"/>
          <w:lang w:val="en-US" w:eastAsia="zh-CN"/>
        </w:rPr>
        <w:t>若有</w:t>
      </w:r>
      <w:r>
        <w:rPr>
          <w:rFonts w:hint="eastAsia" w:ascii="仿宋" w:hAnsi="仿宋" w:eastAsia="仿宋" w:cs="仿宋"/>
          <w:bCs w:val="0"/>
          <w:color w:val="auto"/>
          <w:sz w:val="32"/>
          <w:highlight w:val="none"/>
          <w:lang w:eastAsia="zh-CN"/>
        </w:rPr>
        <w:t>）</w:t>
      </w:r>
    </w:p>
    <w:p w14:paraId="5B4F9EF1">
      <w:pPr>
        <w:jc w:val="center"/>
        <w:rPr>
          <w:rFonts w:ascii="仿宋" w:hAnsi="仿宋" w:eastAsia="仿宋" w:cs="仿宋"/>
          <w:color w:val="auto"/>
          <w:sz w:val="24"/>
          <w:highlight w:val="none"/>
        </w:rPr>
      </w:pPr>
      <w:r>
        <w:rPr>
          <w:rFonts w:hint="eastAsia" w:ascii="仿宋" w:hAnsi="仿宋" w:eastAsia="仿宋" w:cs="仿宋"/>
          <w:color w:val="auto"/>
          <w:sz w:val="24"/>
          <w:highlight w:val="none"/>
        </w:rPr>
        <w:t>（格式自拟）</w:t>
      </w:r>
    </w:p>
    <w:p w14:paraId="0E2B42BF">
      <w:pPr>
        <w:rPr>
          <w:rFonts w:ascii="仿宋" w:hAnsi="仿宋" w:eastAsia="仿宋" w:cs="仿宋"/>
          <w:b/>
          <w:color w:val="auto"/>
          <w:sz w:val="32"/>
          <w:szCs w:val="32"/>
          <w:highlight w:val="none"/>
        </w:rPr>
      </w:pPr>
    </w:p>
    <w:p w14:paraId="31261DB8">
      <w:pPr>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br w:type="page"/>
      </w:r>
    </w:p>
    <w:p w14:paraId="54A9E40A">
      <w:pPr>
        <w:spacing w:line="360" w:lineRule="auto"/>
        <w:ind w:firstLine="3" w:firstLineChars="1"/>
        <w:jc w:val="center"/>
        <w:outlineLvl w:val="1"/>
        <w:rPr>
          <w:rFonts w:ascii="仿宋" w:hAnsi="仿宋" w:eastAsia="仿宋" w:cs="仿宋"/>
          <w:b/>
          <w:color w:val="auto"/>
          <w:sz w:val="32"/>
          <w:szCs w:val="32"/>
          <w:highlight w:val="none"/>
        </w:rPr>
      </w:pPr>
      <w:bookmarkStart w:id="133" w:name="_Toc28"/>
      <w:r>
        <w:rPr>
          <w:rFonts w:hint="eastAsia" w:ascii="仿宋" w:hAnsi="仿宋" w:eastAsia="仿宋" w:cs="仿宋"/>
          <w:b/>
          <w:color w:val="auto"/>
          <w:sz w:val="32"/>
          <w:szCs w:val="32"/>
          <w:highlight w:val="none"/>
        </w:rPr>
        <w:t>（五）商务条款偏离表</w:t>
      </w:r>
      <w:bookmarkEnd w:id="133"/>
    </w:p>
    <w:p w14:paraId="3D4DDB4F">
      <w:pPr>
        <w:spacing w:line="360" w:lineRule="auto"/>
        <w:ind w:firstLine="420" w:firstLineChars="200"/>
        <w:rPr>
          <w:rFonts w:ascii="仿宋" w:hAnsi="仿宋" w:eastAsia="仿宋" w:cs="仿宋"/>
          <w:color w:val="auto"/>
          <w:highlight w:val="none"/>
        </w:rPr>
      </w:pPr>
      <w:r>
        <w:rPr>
          <w:rFonts w:hint="eastAsia" w:ascii="仿宋" w:hAnsi="仿宋" w:eastAsia="仿宋" w:cs="仿宋"/>
          <w:color w:val="auto"/>
          <w:highlight w:val="none"/>
        </w:rPr>
        <w:t>参加磋商的供应商应逐条对应竞争性磋商文件第五章“</w:t>
      </w:r>
      <w:r>
        <w:rPr>
          <w:rFonts w:hint="eastAsia" w:ascii="仿宋" w:hAnsi="仿宋" w:eastAsia="仿宋" w:cs="仿宋"/>
          <w:b/>
          <w:color w:val="auto"/>
          <w:highlight w:val="none"/>
        </w:rPr>
        <w:t>采购需求</w:t>
      </w:r>
      <w:r>
        <w:rPr>
          <w:rFonts w:hint="eastAsia" w:ascii="仿宋" w:hAnsi="仿宋" w:eastAsia="仿宋" w:cs="仿宋"/>
          <w:color w:val="auto"/>
          <w:highlight w:val="none"/>
        </w:rPr>
        <w:t>”和第三章“</w:t>
      </w:r>
      <w:r>
        <w:rPr>
          <w:rFonts w:hint="eastAsia" w:ascii="仿宋" w:hAnsi="仿宋" w:eastAsia="仿宋" w:cs="仿宋"/>
          <w:b/>
          <w:bCs/>
          <w:color w:val="auto"/>
          <w:highlight w:val="none"/>
        </w:rPr>
        <w:t>合同书样式及主要条款</w:t>
      </w:r>
      <w:r>
        <w:rPr>
          <w:rFonts w:hint="eastAsia" w:ascii="仿宋" w:hAnsi="仿宋" w:eastAsia="仿宋" w:cs="仿宋"/>
          <w:color w:val="auto"/>
          <w:highlight w:val="none"/>
        </w:rPr>
        <w:t>”中要求的商务条件，包括合同履行期限、服务地点、履约保证金等内容，并根据实际情况如实填写本表格。</w:t>
      </w:r>
    </w:p>
    <w:p w14:paraId="1C1CABA0">
      <w:pPr>
        <w:spacing w:line="360" w:lineRule="auto"/>
        <w:ind w:firstLine="422" w:firstLineChars="200"/>
        <w:rPr>
          <w:rFonts w:ascii="仿宋" w:hAnsi="仿宋" w:eastAsia="仿宋" w:cs="仿宋"/>
          <w:b/>
          <w:color w:val="auto"/>
          <w:highlight w:val="none"/>
        </w:rPr>
      </w:pPr>
      <w:r>
        <w:rPr>
          <w:rFonts w:hint="eastAsia" w:ascii="仿宋" w:hAnsi="仿宋" w:eastAsia="仿宋" w:cs="仿宋"/>
          <w:b/>
          <w:color w:val="auto"/>
          <w:szCs w:val="21"/>
          <w:highlight w:val="none"/>
        </w:rPr>
        <w:t>★</w:t>
      </w:r>
      <w:r>
        <w:rPr>
          <w:rFonts w:hint="eastAsia" w:ascii="仿宋" w:hAnsi="仿宋" w:eastAsia="仿宋" w:cs="仿宋"/>
          <w:b/>
          <w:color w:val="auto"/>
          <w:highlight w:val="none"/>
        </w:rPr>
        <w:t>未填写本表格的供应商将不能通过实质性审查。</w:t>
      </w:r>
    </w:p>
    <w:p w14:paraId="3AE4CA46">
      <w:pPr>
        <w:spacing w:line="360" w:lineRule="auto"/>
        <w:rPr>
          <w:rFonts w:ascii="仿宋" w:hAnsi="仿宋" w:eastAsia="仿宋" w:cs="仿宋"/>
          <w:color w:val="auto"/>
          <w:highlight w:val="none"/>
          <w:u w:val="single"/>
        </w:rPr>
      </w:pPr>
      <w:r>
        <w:rPr>
          <w:rFonts w:hint="eastAsia" w:ascii="仿宋" w:hAnsi="仿宋" w:eastAsia="仿宋" w:cs="仿宋"/>
          <w:color w:val="auto"/>
          <w:highlight w:val="none"/>
        </w:rPr>
        <w:t>项目名称：       项目编号：</w:t>
      </w:r>
    </w:p>
    <w:p w14:paraId="2682A2B4">
      <w:pPr>
        <w:spacing w:line="360" w:lineRule="auto"/>
        <w:rPr>
          <w:rFonts w:ascii="仿宋" w:hAnsi="仿宋" w:eastAsia="仿宋" w:cs="仿宋"/>
          <w:color w:val="auto"/>
          <w:highlight w:val="none"/>
        </w:rPr>
      </w:pPr>
      <w:r>
        <w:rPr>
          <w:rFonts w:hint="eastAsia" w:ascii="仿宋" w:hAnsi="仿宋" w:eastAsia="仿宋" w:cs="仿宋"/>
          <w:color w:val="auto"/>
          <w:highlight w:val="none"/>
        </w:rPr>
        <w:t>A、□我公司已详细阅读竞争性磋商文件中各项商务要求，所有商务要求均无偏离，成交后我公司将严格遵照执行。</w:t>
      </w:r>
    </w:p>
    <w:p w14:paraId="3EBB2269">
      <w:pPr>
        <w:spacing w:line="360" w:lineRule="auto"/>
        <w:rPr>
          <w:rFonts w:ascii="仿宋" w:hAnsi="仿宋" w:eastAsia="仿宋" w:cs="仿宋"/>
          <w:color w:val="auto"/>
          <w:highlight w:val="none"/>
        </w:rPr>
      </w:pPr>
      <w:r>
        <w:rPr>
          <w:rFonts w:hint="eastAsia" w:ascii="仿宋" w:hAnsi="仿宋" w:eastAsia="仿宋" w:cs="仿宋"/>
          <w:color w:val="auto"/>
          <w:highlight w:val="none"/>
        </w:rPr>
        <w:t>B、□我公司已详细阅读竞争性磋商文件中各项商务要求，除下述条款有偏离外，其余条款我公司均予以认可，成交后将严格遵照执行。</w:t>
      </w:r>
    </w:p>
    <w:tbl>
      <w:tblPr>
        <w:tblStyle w:val="27"/>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4265"/>
        <w:gridCol w:w="4604"/>
      </w:tblGrid>
      <w:tr w14:paraId="3CD3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69314C30">
            <w:pPr>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2215" w:type="pct"/>
            <w:vAlign w:val="center"/>
          </w:tcPr>
          <w:p w14:paraId="2F8CF50B">
            <w:pPr>
              <w:jc w:val="center"/>
              <w:rPr>
                <w:rFonts w:ascii="仿宋" w:hAnsi="仿宋" w:eastAsia="仿宋" w:cs="仿宋"/>
                <w:color w:val="auto"/>
                <w:highlight w:val="none"/>
              </w:rPr>
            </w:pPr>
            <w:r>
              <w:rPr>
                <w:rFonts w:hint="eastAsia" w:ascii="仿宋" w:hAnsi="仿宋" w:eastAsia="仿宋" w:cs="仿宋"/>
                <w:color w:val="auto"/>
                <w:highlight w:val="none"/>
              </w:rPr>
              <w:t>竞争性磋商文件的商务条款要求</w:t>
            </w:r>
          </w:p>
        </w:tc>
        <w:tc>
          <w:tcPr>
            <w:tcW w:w="2391" w:type="pct"/>
            <w:vAlign w:val="center"/>
          </w:tcPr>
          <w:p w14:paraId="5603713B">
            <w:pPr>
              <w:jc w:val="center"/>
              <w:rPr>
                <w:rFonts w:ascii="仿宋" w:hAnsi="仿宋" w:eastAsia="仿宋" w:cs="仿宋"/>
                <w:color w:val="auto"/>
                <w:highlight w:val="none"/>
              </w:rPr>
            </w:pPr>
            <w:r>
              <w:rPr>
                <w:rFonts w:hint="eastAsia" w:ascii="仿宋" w:hAnsi="仿宋" w:eastAsia="仿宋" w:cs="仿宋"/>
                <w:color w:val="auto"/>
                <w:highlight w:val="none"/>
              </w:rPr>
              <w:t>响应文件的商务条款</w:t>
            </w:r>
          </w:p>
        </w:tc>
      </w:tr>
      <w:tr w14:paraId="7B34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5F8C0215">
            <w:pPr>
              <w:jc w:val="center"/>
              <w:rPr>
                <w:rFonts w:ascii="仿宋" w:hAnsi="仿宋" w:eastAsia="仿宋" w:cs="仿宋"/>
                <w:color w:val="auto"/>
                <w:highlight w:val="none"/>
              </w:rPr>
            </w:pPr>
          </w:p>
        </w:tc>
        <w:tc>
          <w:tcPr>
            <w:tcW w:w="2215" w:type="pct"/>
            <w:vAlign w:val="center"/>
          </w:tcPr>
          <w:p w14:paraId="2301CA9C">
            <w:pPr>
              <w:jc w:val="center"/>
              <w:rPr>
                <w:rFonts w:ascii="仿宋" w:hAnsi="仿宋" w:eastAsia="仿宋" w:cs="仿宋"/>
                <w:color w:val="auto"/>
                <w:highlight w:val="none"/>
              </w:rPr>
            </w:pPr>
          </w:p>
        </w:tc>
        <w:tc>
          <w:tcPr>
            <w:tcW w:w="2391" w:type="pct"/>
            <w:vAlign w:val="center"/>
          </w:tcPr>
          <w:p w14:paraId="62034F7F">
            <w:pPr>
              <w:jc w:val="center"/>
              <w:rPr>
                <w:rFonts w:ascii="仿宋" w:hAnsi="仿宋" w:eastAsia="仿宋" w:cs="仿宋"/>
                <w:color w:val="auto"/>
                <w:highlight w:val="none"/>
              </w:rPr>
            </w:pPr>
          </w:p>
        </w:tc>
      </w:tr>
      <w:tr w14:paraId="24D65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279486B7">
            <w:pPr>
              <w:jc w:val="center"/>
              <w:rPr>
                <w:rFonts w:ascii="仿宋" w:hAnsi="仿宋" w:eastAsia="仿宋" w:cs="仿宋"/>
                <w:color w:val="auto"/>
                <w:highlight w:val="none"/>
              </w:rPr>
            </w:pPr>
          </w:p>
        </w:tc>
        <w:tc>
          <w:tcPr>
            <w:tcW w:w="2215" w:type="pct"/>
            <w:vAlign w:val="center"/>
          </w:tcPr>
          <w:p w14:paraId="5E879773">
            <w:pPr>
              <w:jc w:val="center"/>
              <w:rPr>
                <w:rFonts w:ascii="仿宋" w:hAnsi="仿宋" w:eastAsia="仿宋" w:cs="仿宋"/>
                <w:color w:val="auto"/>
                <w:highlight w:val="none"/>
              </w:rPr>
            </w:pPr>
          </w:p>
        </w:tc>
        <w:tc>
          <w:tcPr>
            <w:tcW w:w="2391" w:type="pct"/>
            <w:vAlign w:val="center"/>
          </w:tcPr>
          <w:p w14:paraId="3466F166">
            <w:pPr>
              <w:jc w:val="center"/>
              <w:rPr>
                <w:rFonts w:ascii="仿宋" w:hAnsi="仿宋" w:eastAsia="仿宋" w:cs="仿宋"/>
                <w:color w:val="auto"/>
                <w:highlight w:val="none"/>
              </w:rPr>
            </w:pPr>
          </w:p>
        </w:tc>
      </w:tr>
      <w:tr w14:paraId="66D33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393" w:type="pct"/>
            <w:vAlign w:val="center"/>
          </w:tcPr>
          <w:p w14:paraId="4A78F0F5">
            <w:pPr>
              <w:jc w:val="center"/>
              <w:rPr>
                <w:rFonts w:ascii="仿宋" w:hAnsi="仿宋" w:eastAsia="仿宋" w:cs="仿宋"/>
                <w:color w:val="auto"/>
                <w:highlight w:val="none"/>
              </w:rPr>
            </w:pPr>
          </w:p>
        </w:tc>
        <w:tc>
          <w:tcPr>
            <w:tcW w:w="2215" w:type="pct"/>
            <w:vAlign w:val="center"/>
          </w:tcPr>
          <w:p w14:paraId="23418823">
            <w:pPr>
              <w:jc w:val="center"/>
              <w:rPr>
                <w:rFonts w:ascii="仿宋" w:hAnsi="仿宋" w:eastAsia="仿宋" w:cs="仿宋"/>
                <w:color w:val="auto"/>
                <w:highlight w:val="none"/>
              </w:rPr>
            </w:pPr>
          </w:p>
        </w:tc>
        <w:tc>
          <w:tcPr>
            <w:tcW w:w="2391" w:type="pct"/>
            <w:vAlign w:val="center"/>
          </w:tcPr>
          <w:p w14:paraId="4B727096">
            <w:pPr>
              <w:jc w:val="center"/>
              <w:rPr>
                <w:rFonts w:ascii="仿宋" w:hAnsi="仿宋" w:eastAsia="仿宋" w:cs="仿宋"/>
                <w:color w:val="auto"/>
                <w:highlight w:val="none"/>
              </w:rPr>
            </w:pPr>
          </w:p>
        </w:tc>
      </w:tr>
      <w:tr w14:paraId="5794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0EE6461D">
            <w:pPr>
              <w:jc w:val="center"/>
              <w:rPr>
                <w:rFonts w:ascii="仿宋" w:hAnsi="仿宋" w:eastAsia="仿宋" w:cs="仿宋"/>
                <w:color w:val="auto"/>
                <w:highlight w:val="none"/>
              </w:rPr>
            </w:pPr>
          </w:p>
        </w:tc>
        <w:tc>
          <w:tcPr>
            <w:tcW w:w="2215" w:type="pct"/>
            <w:vAlign w:val="center"/>
          </w:tcPr>
          <w:p w14:paraId="3F7DCCAD">
            <w:pPr>
              <w:jc w:val="center"/>
              <w:rPr>
                <w:rFonts w:ascii="仿宋" w:hAnsi="仿宋" w:eastAsia="仿宋" w:cs="仿宋"/>
                <w:color w:val="auto"/>
                <w:highlight w:val="none"/>
              </w:rPr>
            </w:pPr>
          </w:p>
        </w:tc>
        <w:tc>
          <w:tcPr>
            <w:tcW w:w="2391" w:type="pct"/>
            <w:vAlign w:val="center"/>
          </w:tcPr>
          <w:p w14:paraId="0D87969D">
            <w:pPr>
              <w:jc w:val="center"/>
              <w:rPr>
                <w:rFonts w:ascii="仿宋" w:hAnsi="仿宋" w:eastAsia="仿宋" w:cs="仿宋"/>
                <w:color w:val="auto"/>
                <w:highlight w:val="none"/>
              </w:rPr>
            </w:pPr>
          </w:p>
        </w:tc>
      </w:tr>
      <w:tr w14:paraId="7A26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0EEB7068">
            <w:pPr>
              <w:jc w:val="center"/>
              <w:rPr>
                <w:rFonts w:ascii="仿宋" w:hAnsi="仿宋" w:eastAsia="仿宋" w:cs="仿宋"/>
                <w:color w:val="auto"/>
                <w:highlight w:val="none"/>
              </w:rPr>
            </w:pPr>
          </w:p>
        </w:tc>
        <w:tc>
          <w:tcPr>
            <w:tcW w:w="2215" w:type="pct"/>
            <w:vAlign w:val="center"/>
          </w:tcPr>
          <w:p w14:paraId="781CA535">
            <w:pPr>
              <w:jc w:val="center"/>
              <w:rPr>
                <w:rFonts w:ascii="仿宋" w:hAnsi="仿宋" w:eastAsia="仿宋" w:cs="仿宋"/>
                <w:color w:val="auto"/>
                <w:highlight w:val="none"/>
              </w:rPr>
            </w:pPr>
          </w:p>
        </w:tc>
        <w:tc>
          <w:tcPr>
            <w:tcW w:w="2391" w:type="pct"/>
            <w:vAlign w:val="center"/>
          </w:tcPr>
          <w:p w14:paraId="257039B6">
            <w:pPr>
              <w:jc w:val="center"/>
              <w:rPr>
                <w:rFonts w:ascii="仿宋" w:hAnsi="仿宋" w:eastAsia="仿宋" w:cs="仿宋"/>
                <w:color w:val="auto"/>
                <w:highlight w:val="none"/>
              </w:rPr>
            </w:pPr>
          </w:p>
        </w:tc>
      </w:tr>
      <w:tr w14:paraId="3E73C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3B5B4462">
            <w:pPr>
              <w:jc w:val="center"/>
              <w:rPr>
                <w:rFonts w:ascii="仿宋" w:hAnsi="仿宋" w:eastAsia="仿宋" w:cs="仿宋"/>
                <w:color w:val="auto"/>
                <w:highlight w:val="none"/>
              </w:rPr>
            </w:pPr>
          </w:p>
        </w:tc>
        <w:tc>
          <w:tcPr>
            <w:tcW w:w="2215" w:type="pct"/>
            <w:vAlign w:val="center"/>
          </w:tcPr>
          <w:p w14:paraId="5E789E68">
            <w:pPr>
              <w:jc w:val="center"/>
              <w:rPr>
                <w:rFonts w:ascii="仿宋" w:hAnsi="仿宋" w:eastAsia="仿宋" w:cs="仿宋"/>
                <w:color w:val="auto"/>
                <w:highlight w:val="none"/>
              </w:rPr>
            </w:pPr>
          </w:p>
        </w:tc>
        <w:tc>
          <w:tcPr>
            <w:tcW w:w="2391" w:type="pct"/>
            <w:vAlign w:val="center"/>
          </w:tcPr>
          <w:p w14:paraId="6CE1BDE5">
            <w:pPr>
              <w:jc w:val="center"/>
              <w:rPr>
                <w:rFonts w:ascii="仿宋" w:hAnsi="仿宋" w:eastAsia="仿宋" w:cs="仿宋"/>
                <w:color w:val="auto"/>
                <w:highlight w:val="none"/>
              </w:rPr>
            </w:pPr>
          </w:p>
        </w:tc>
      </w:tr>
      <w:tr w14:paraId="18F6D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084627C0">
            <w:pPr>
              <w:jc w:val="center"/>
              <w:rPr>
                <w:rFonts w:ascii="仿宋" w:hAnsi="仿宋" w:eastAsia="仿宋" w:cs="仿宋"/>
                <w:color w:val="auto"/>
                <w:highlight w:val="none"/>
              </w:rPr>
            </w:pPr>
          </w:p>
        </w:tc>
        <w:tc>
          <w:tcPr>
            <w:tcW w:w="2215" w:type="pct"/>
            <w:vAlign w:val="center"/>
          </w:tcPr>
          <w:p w14:paraId="174FB38D">
            <w:pPr>
              <w:jc w:val="center"/>
              <w:rPr>
                <w:rFonts w:ascii="仿宋" w:hAnsi="仿宋" w:eastAsia="仿宋" w:cs="仿宋"/>
                <w:color w:val="auto"/>
                <w:highlight w:val="none"/>
              </w:rPr>
            </w:pPr>
          </w:p>
        </w:tc>
        <w:tc>
          <w:tcPr>
            <w:tcW w:w="2391" w:type="pct"/>
            <w:vAlign w:val="center"/>
          </w:tcPr>
          <w:p w14:paraId="1AAA1835">
            <w:pPr>
              <w:jc w:val="center"/>
              <w:rPr>
                <w:rFonts w:ascii="仿宋" w:hAnsi="仿宋" w:eastAsia="仿宋" w:cs="仿宋"/>
                <w:color w:val="auto"/>
                <w:highlight w:val="none"/>
              </w:rPr>
            </w:pPr>
          </w:p>
        </w:tc>
      </w:tr>
      <w:tr w14:paraId="6A83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393" w:type="pct"/>
            <w:vAlign w:val="center"/>
          </w:tcPr>
          <w:p w14:paraId="0E512957">
            <w:pPr>
              <w:jc w:val="center"/>
              <w:rPr>
                <w:rFonts w:ascii="仿宋" w:hAnsi="仿宋" w:eastAsia="仿宋" w:cs="仿宋"/>
                <w:color w:val="auto"/>
                <w:highlight w:val="none"/>
              </w:rPr>
            </w:pPr>
          </w:p>
        </w:tc>
        <w:tc>
          <w:tcPr>
            <w:tcW w:w="2215" w:type="pct"/>
            <w:vAlign w:val="center"/>
          </w:tcPr>
          <w:p w14:paraId="6AEA06E6">
            <w:pPr>
              <w:jc w:val="center"/>
              <w:rPr>
                <w:rFonts w:ascii="仿宋" w:hAnsi="仿宋" w:eastAsia="仿宋" w:cs="仿宋"/>
                <w:color w:val="auto"/>
                <w:highlight w:val="none"/>
              </w:rPr>
            </w:pPr>
          </w:p>
        </w:tc>
        <w:tc>
          <w:tcPr>
            <w:tcW w:w="2391" w:type="pct"/>
            <w:vAlign w:val="center"/>
          </w:tcPr>
          <w:p w14:paraId="549F7F17">
            <w:pPr>
              <w:jc w:val="center"/>
              <w:rPr>
                <w:rFonts w:ascii="仿宋" w:hAnsi="仿宋" w:eastAsia="仿宋" w:cs="仿宋"/>
                <w:color w:val="auto"/>
                <w:highlight w:val="none"/>
              </w:rPr>
            </w:pPr>
          </w:p>
        </w:tc>
      </w:tr>
    </w:tbl>
    <w:p w14:paraId="439B9AEB">
      <w:pPr>
        <w:spacing w:line="360" w:lineRule="auto"/>
        <w:ind w:firstLine="2" w:firstLineChars="1"/>
        <w:rPr>
          <w:rFonts w:ascii="仿宋" w:hAnsi="仿宋" w:eastAsia="仿宋" w:cs="仿宋"/>
          <w:color w:val="auto"/>
          <w:szCs w:val="21"/>
          <w:highlight w:val="none"/>
        </w:rPr>
      </w:pPr>
      <w:r>
        <w:rPr>
          <w:rFonts w:hint="eastAsia" w:ascii="仿宋" w:hAnsi="仿宋" w:eastAsia="仿宋" w:cs="仿宋"/>
          <w:color w:val="auto"/>
          <w:szCs w:val="21"/>
          <w:highlight w:val="none"/>
        </w:rPr>
        <w:t>供应商：（盖单位公章）</w:t>
      </w:r>
    </w:p>
    <w:p w14:paraId="3889AA6D">
      <w:pPr>
        <w:spacing w:line="360" w:lineRule="auto"/>
        <w:ind w:firstLine="2" w:firstLineChars="1"/>
        <w:rPr>
          <w:rFonts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法定代表人或其委托代理人：（签字或盖章）</w:t>
      </w:r>
    </w:p>
    <w:p w14:paraId="7936FAAF">
      <w:pPr>
        <w:spacing w:line="360" w:lineRule="auto"/>
        <w:ind w:firstLine="2" w:firstLineChars="1"/>
        <w:rPr>
          <w:rFonts w:ascii="仿宋" w:hAnsi="仿宋" w:eastAsia="仿宋" w:cs="仿宋"/>
          <w:color w:val="auto"/>
          <w:szCs w:val="21"/>
          <w:highlight w:val="none"/>
        </w:rPr>
      </w:pPr>
      <w:r>
        <w:rPr>
          <w:rFonts w:hint="eastAsia" w:ascii="仿宋" w:hAnsi="仿宋" w:eastAsia="仿宋" w:cs="仿宋"/>
          <w:color w:val="auto"/>
          <w:szCs w:val="21"/>
          <w:highlight w:val="none"/>
        </w:rPr>
        <w:t>年月日</w:t>
      </w:r>
    </w:p>
    <w:p w14:paraId="451DFBBD">
      <w:pPr>
        <w:pStyle w:val="15"/>
        <w:spacing w:line="44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表格填写说明：</w:t>
      </w:r>
    </w:p>
    <w:p w14:paraId="3FDDDA94">
      <w:pPr>
        <w:pStyle w:val="15"/>
        <w:spacing w:line="44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1、供应商应根据实际情况，填写本表格，若无偏离，则勾选A项，签字盖章即可。若有偏离，则勾选B项，按表格要求及实际情况填写后，签字盖章。</w:t>
      </w:r>
    </w:p>
    <w:p w14:paraId="4847DCA5">
      <w:pPr>
        <w:pStyle w:val="15"/>
        <w:spacing w:line="44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2、表格中“竞争性磋商文件的商务条款要求”在填写时应注明该条款在响应文件中的页码及条款号。</w:t>
      </w:r>
    </w:p>
    <w:p w14:paraId="2DE1ECA6">
      <w:pPr>
        <w:pStyle w:val="15"/>
        <w:spacing w:line="44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3、表格中“响应文件的商务条款”请根据实际响应情况如实、完整、准确的填写。</w:t>
      </w:r>
    </w:p>
    <w:p w14:paraId="5AB98E06">
      <w:pPr>
        <w:pStyle w:val="15"/>
        <w:spacing w:line="44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4、本表格中内容与响应文件其余部分不一致的，以本表格为准。</w:t>
      </w:r>
    </w:p>
    <w:p w14:paraId="2A6344A2">
      <w:pPr>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14:paraId="1E3BA1A1">
      <w:pPr>
        <w:pStyle w:val="4"/>
        <w:spacing w:before="0"/>
        <w:ind w:left="425" w:firstLine="0"/>
        <w:rPr>
          <w:rFonts w:ascii="仿宋" w:hAnsi="仿宋" w:eastAsia="仿宋" w:cs="仿宋"/>
          <w:bCs w:val="0"/>
          <w:color w:val="auto"/>
          <w:sz w:val="32"/>
          <w:highlight w:val="none"/>
        </w:rPr>
      </w:pPr>
      <w:bookmarkStart w:id="134" w:name="_Toc16722"/>
      <w:r>
        <w:rPr>
          <w:rFonts w:hint="eastAsia" w:ascii="仿宋" w:hAnsi="仿宋" w:eastAsia="仿宋" w:cs="仿宋"/>
          <w:bCs w:val="0"/>
          <w:color w:val="auto"/>
          <w:sz w:val="32"/>
          <w:highlight w:val="none"/>
        </w:rPr>
        <w:t>（六）技术文件</w:t>
      </w:r>
      <w:bookmarkEnd w:id="134"/>
    </w:p>
    <w:p w14:paraId="2E7FAE53">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供应商根据第五章采购需求及第六章评审内容自行编制技术文件，具体内容包括但不限于以下内容：</w:t>
      </w:r>
    </w:p>
    <w:p w14:paraId="625D8ECE">
      <w:pPr>
        <w:numPr>
          <w:ilvl w:val="0"/>
          <w:numId w:val="8"/>
        </w:numPr>
        <w:spacing w:line="500" w:lineRule="atLeast"/>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招标代理服务方案</w:t>
      </w:r>
    </w:p>
    <w:p w14:paraId="66D971EC">
      <w:pPr>
        <w:numPr>
          <w:ilvl w:val="0"/>
          <w:numId w:val="0"/>
        </w:numPr>
        <w:spacing w:line="500" w:lineRule="atLeast"/>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（格式自拟）</w:t>
      </w:r>
    </w:p>
    <w:p w14:paraId="1016498E">
      <w:pPr>
        <w:spacing w:line="500" w:lineRule="atLeast"/>
        <w:ind w:left="420"/>
        <w:jc w:val="center"/>
        <w:rPr>
          <w:rFonts w:ascii="仿宋" w:hAnsi="仿宋" w:eastAsia="仿宋" w:cs="仿宋"/>
          <w:b/>
          <w:bCs/>
          <w:color w:val="auto"/>
          <w:sz w:val="24"/>
          <w:highlight w:val="none"/>
        </w:rPr>
      </w:pPr>
    </w:p>
    <w:p w14:paraId="0E40648D">
      <w:pPr>
        <w:numPr>
          <w:ilvl w:val="0"/>
          <w:numId w:val="0"/>
        </w:numPr>
        <w:spacing w:line="500" w:lineRule="atLeast"/>
        <w:ind w:left="420" w:leftChars="0"/>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w:t>
      </w:r>
      <w:r>
        <w:rPr>
          <w:rFonts w:ascii="仿宋" w:hAnsi="仿宋" w:eastAsia="仿宋" w:cs="仿宋"/>
          <w:b/>
          <w:bCs/>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en-US" w:eastAsia="zh-CN" w:bidi="ar-SA"/>
        </w:rPr>
        <w:t>服务质量保证措施及承诺</w:t>
      </w:r>
    </w:p>
    <w:p w14:paraId="3CA2B853">
      <w:pPr>
        <w:spacing w:line="500" w:lineRule="atLeast"/>
        <w:ind w:left="42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（格式自拟）</w:t>
      </w:r>
    </w:p>
    <w:p w14:paraId="7CE9E39A">
      <w:pPr>
        <w:spacing w:line="500" w:lineRule="atLeast"/>
        <w:ind w:left="420"/>
        <w:jc w:val="center"/>
        <w:rPr>
          <w:rFonts w:ascii="仿宋" w:hAnsi="仿宋" w:eastAsia="仿宋" w:cs="仿宋"/>
          <w:b/>
          <w:bCs/>
          <w:color w:val="auto"/>
          <w:sz w:val="24"/>
          <w:highlight w:val="none"/>
        </w:rPr>
      </w:pPr>
    </w:p>
    <w:p w14:paraId="78B51A91">
      <w:pPr>
        <w:spacing w:line="500" w:lineRule="atLeast"/>
        <w:ind w:left="420"/>
        <w:jc w:val="center"/>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val="en-US" w:eastAsia="zh-CN"/>
        </w:rPr>
        <w:t>廉洁管理措施及承诺</w:t>
      </w:r>
    </w:p>
    <w:p w14:paraId="2E6988CE">
      <w:pPr>
        <w:spacing w:line="500" w:lineRule="atLeast"/>
        <w:ind w:left="420"/>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（格式自拟）</w:t>
      </w:r>
    </w:p>
    <w:p w14:paraId="0D11EED3">
      <w:pPr>
        <w:pStyle w:val="9"/>
        <w:rPr>
          <w:rFonts w:ascii="仿宋" w:hAnsi="仿宋" w:eastAsia="仿宋" w:cs="仿宋"/>
          <w:b/>
          <w:bCs/>
          <w:color w:val="auto"/>
          <w:sz w:val="24"/>
          <w:highlight w:val="none"/>
        </w:rPr>
      </w:pPr>
    </w:p>
    <w:p w14:paraId="3FC9FEC5">
      <w:pPr>
        <w:spacing w:line="500" w:lineRule="atLeast"/>
        <w:ind w:left="420"/>
        <w:jc w:val="center"/>
        <w:rPr>
          <w:rFonts w:hint="eastAsia" w:ascii="仿宋" w:hAnsi="仿宋" w:eastAsia="仿宋" w:cs="仿宋"/>
          <w:b/>
          <w:bCs/>
          <w:color w:val="auto"/>
          <w:sz w:val="24"/>
          <w:highlight w:val="none"/>
        </w:rPr>
      </w:pPr>
    </w:p>
    <w:p w14:paraId="3D58B6FF">
      <w:pPr>
        <w:pStyle w:val="44"/>
        <w:rPr>
          <w:color w:val="auto"/>
          <w:highlight w:val="none"/>
        </w:rPr>
      </w:pPr>
    </w:p>
    <w:p w14:paraId="18857FB2">
      <w:pPr>
        <w:numPr>
          <w:ilvl w:val="255"/>
          <w:numId w:val="0"/>
        </w:numPr>
        <w:spacing w:line="500" w:lineRule="atLeast"/>
        <w:ind w:left="420"/>
        <w:rPr>
          <w:rFonts w:ascii="仿宋" w:hAnsi="仿宋" w:eastAsia="仿宋" w:cs="仿宋"/>
          <w:b/>
          <w:bCs/>
          <w:color w:val="auto"/>
          <w:sz w:val="24"/>
          <w:highlight w:val="none"/>
        </w:rPr>
      </w:pPr>
    </w:p>
    <w:p w14:paraId="1E8A6E54">
      <w:pPr>
        <w:rPr>
          <w:rFonts w:ascii="仿宋" w:hAnsi="仿宋" w:eastAsia="仿宋" w:cs="仿宋"/>
          <w:color w:val="auto"/>
          <w:sz w:val="32"/>
          <w:highlight w:val="none"/>
        </w:rPr>
      </w:pPr>
      <w:r>
        <w:rPr>
          <w:rFonts w:hint="eastAsia" w:ascii="仿宋" w:hAnsi="仿宋" w:eastAsia="仿宋" w:cs="仿宋"/>
          <w:color w:val="auto"/>
          <w:sz w:val="32"/>
          <w:highlight w:val="none"/>
        </w:rPr>
        <w:br w:type="page"/>
      </w:r>
    </w:p>
    <w:p w14:paraId="45E72229">
      <w:pPr>
        <w:pStyle w:val="5"/>
        <w:tabs>
          <w:tab w:val="left" w:pos="1021"/>
          <w:tab w:val="clear" w:pos="1588"/>
        </w:tabs>
        <w:spacing w:before="0"/>
        <w:ind w:left="425" w:firstLine="0"/>
        <w:outlineLvl w:val="2"/>
        <w:rPr>
          <w:rFonts w:hint="eastAsia" w:ascii="仿宋" w:hAnsi="仿宋" w:eastAsia="仿宋" w:cs="仿宋"/>
          <w:bCs w:val="0"/>
          <w:color w:val="auto"/>
          <w:sz w:val="32"/>
          <w:highlight w:val="none"/>
          <w:lang w:val="en-US" w:eastAsia="zh-CN"/>
        </w:rPr>
      </w:pPr>
      <w:bookmarkStart w:id="135" w:name="_Toc22387"/>
      <w:r>
        <w:rPr>
          <w:rFonts w:hint="eastAsia" w:ascii="仿宋" w:hAnsi="仿宋" w:eastAsia="仿宋" w:cs="仿宋"/>
          <w:color w:val="auto"/>
          <w:sz w:val="32"/>
          <w:highlight w:val="none"/>
          <w:lang w:val="en-US" w:eastAsia="zh-CN"/>
        </w:rPr>
        <w:t>4、</w:t>
      </w:r>
      <w:r>
        <w:rPr>
          <w:rFonts w:hint="eastAsia" w:ascii="仿宋" w:hAnsi="仿宋" w:eastAsia="仿宋" w:cs="仿宋"/>
          <w:color w:val="auto"/>
          <w:sz w:val="32"/>
          <w:highlight w:val="none"/>
        </w:rPr>
        <w:t>服务</w:t>
      </w:r>
      <w:bookmarkEnd w:id="135"/>
      <w:r>
        <w:rPr>
          <w:rFonts w:hint="eastAsia" w:ascii="仿宋" w:hAnsi="仿宋" w:eastAsia="仿宋" w:cs="仿宋"/>
          <w:color w:val="auto"/>
          <w:sz w:val="32"/>
          <w:highlight w:val="none"/>
          <w:lang w:val="en-US" w:eastAsia="zh-CN"/>
        </w:rPr>
        <w:t>能力</w:t>
      </w:r>
    </w:p>
    <w:p w14:paraId="708D1122">
      <w:pPr>
        <w:numPr>
          <w:ilvl w:val="0"/>
          <w:numId w:val="0"/>
        </w:numPr>
        <w:spacing w:line="500" w:lineRule="atLeast"/>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4.1</w:t>
      </w:r>
      <w:r>
        <w:rPr>
          <w:rFonts w:hint="eastAsia" w:ascii="仿宋" w:hAnsi="仿宋" w:eastAsia="仿宋" w:cs="仿宋"/>
          <w:b/>
          <w:bCs/>
          <w:color w:val="auto"/>
          <w:sz w:val="24"/>
          <w:highlight w:val="none"/>
        </w:rPr>
        <w:t>服务团队人员配置</w:t>
      </w:r>
    </w:p>
    <w:p w14:paraId="7F29CB04">
      <w:pPr>
        <w:spacing w:beforeLines="50" w:afterLines="50"/>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附表1、拟派往本项目的人员配备情况表</w:t>
      </w:r>
    </w:p>
    <w:p w14:paraId="63C30AFD">
      <w:pPr>
        <w:autoSpaceDE w:val="0"/>
        <w:autoSpaceDN w:val="0"/>
        <w:adjustRightInd w:val="0"/>
        <w:spacing w:line="297" w:lineRule="exact"/>
        <w:ind w:right="6"/>
        <w:rPr>
          <w:rFonts w:ascii="仿宋" w:hAnsi="仿宋" w:eastAsia="仿宋" w:cs="仿宋"/>
          <w:color w:val="auto"/>
          <w:kern w:val="0"/>
          <w:szCs w:val="21"/>
          <w:highlight w:val="none"/>
        </w:rPr>
      </w:pPr>
      <w:r>
        <w:rPr>
          <w:rFonts w:hint="eastAsia" w:ascii="仿宋" w:hAnsi="仿宋" w:eastAsia="仿宋" w:cs="仿宋"/>
          <w:b/>
          <w:color w:val="auto"/>
          <w:szCs w:val="21"/>
          <w:highlight w:val="none"/>
        </w:rPr>
        <w:t>项目名称：                                                       项目编号：</w:t>
      </w:r>
    </w:p>
    <w:tbl>
      <w:tblPr>
        <w:tblStyle w:val="27"/>
        <w:tblW w:w="9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424"/>
        <w:gridCol w:w="638"/>
        <w:gridCol w:w="638"/>
        <w:gridCol w:w="638"/>
        <w:gridCol w:w="1060"/>
        <w:gridCol w:w="3468"/>
        <w:gridCol w:w="1187"/>
      </w:tblGrid>
      <w:tr w14:paraId="354B8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1F7431EE">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序号</w:t>
            </w:r>
          </w:p>
        </w:tc>
        <w:tc>
          <w:tcPr>
            <w:tcW w:w="1424" w:type="dxa"/>
            <w:vAlign w:val="center"/>
          </w:tcPr>
          <w:p w14:paraId="03AE3955">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岗位</w:t>
            </w:r>
          </w:p>
        </w:tc>
        <w:tc>
          <w:tcPr>
            <w:tcW w:w="638" w:type="dxa"/>
            <w:vAlign w:val="center"/>
          </w:tcPr>
          <w:p w14:paraId="7E5F1EDF">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姓名</w:t>
            </w:r>
          </w:p>
        </w:tc>
        <w:tc>
          <w:tcPr>
            <w:tcW w:w="638" w:type="dxa"/>
            <w:vAlign w:val="center"/>
          </w:tcPr>
          <w:p w14:paraId="0D90BE9A">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学历</w:t>
            </w:r>
          </w:p>
        </w:tc>
        <w:tc>
          <w:tcPr>
            <w:tcW w:w="638" w:type="dxa"/>
            <w:vAlign w:val="center"/>
          </w:tcPr>
          <w:p w14:paraId="0D1DD98E">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职称</w:t>
            </w:r>
          </w:p>
        </w:tc>
        <w:tc>
          <w:tcPr>
            <w:tcW w:w="1060" w:type="dxa"/>
            <w:vAlign w:val="center"/>
          </w:tcPr>
          <w:p w14:paraId="647E53DA">
            <w:pPr>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相关证书</w:t>
            </w:r>
          </w:p>
        </w:tc>
        <w:tc>
          <w:tcPr>
            <w:tcW w:w="3468" w:type="dxa"/>
            <w:vAlign w:val="center"/>
          </w:tcPr>
          <w:p w14:paraId="1F7D15CA">
            <w:pPr>
              <w:autoSpaceDE w:val="0"/>
              <w:autoSpaceDN w:val="0"/>
              <w:adjustRightInd w:val="0"/>
              <w:jc w:val="center"/>
              <w:rPr>
                <w:rFonts w:ascii="仿宋" w:hAnsi="仿宋" w:eastAsia="仿宋" w:cs="仿宋"/>
                <w:color w:val="auto"/>
                <w:kern w:val="0"/>
                <w:szCs w:val="21"/>
                <w:highlight w:val="none"/>
              </w:rPr>
            </w:pPr>
            <w:r>
              <w:rPr>
                <w:rFonts w:hint="eastAsia" w:ascii="仿宋" w:hAnsi="仿宋" w:eastAsia="仿宋" w:cs="仿宋"/>
                <w:b/>
                <w:bCs/>
                <w:color w:val="auto"/>
                <w:szCs w:val="21"/>
                <w:highlight w:val="none"/>
              </w:rPr>
              <w:t>服务内容</w:t>
            </w:r>
          </w:p>
        </w:tc>
        <w:tc>
          <w:tcPr>
            <w:tcW w:w="1187" w:type="dxa"/>
            <w:vAlign w:val="center"/>
          </w:tcPr>
          <w:p w14:paraId="47AA6407">
            <w:pPr>
              <w:autoSpaceDE w:val="0"/>
              <w:autoSpaceDN w:val="0"/>
              <w:adjustRightInd w:val="0"/>
              <w:jc w:val="center"/>
              <w:rPr>
                <w:rFonts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tc>
      </w:tr>
      <w:tr w14:paraId="302B3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378CA03">
            <w:pPr>
              <w:jc w:val="center"/>
              <w:rPr>
                <w:rFonts w:ascii="仿宋" w:hAnsi="仿宋" w:eastAsia="仿宋" w:cs="仿宋"/>
                <w:color w:val="auto"/>
                <w:szCs w:val="21"/>
                <w:highlight w:val="none"/>
              </w:rPr>
            </w:pPr>
          </w:p>
        </w:tc>
        <w:tc>
          <w:tcPr>
            <w:tcW w:w="1424" w:type="dxa"/>
            <w:vAlign w:val="center"/>
          </w:tcPr>
          <w:p w14:paraId="7615C1AB">
            <w:pPr>
              <w:jc w:val="center"/>
              <w:rPr>
                <w:rFonts w:ascii="仿宋" w:hAnsi="仿宋" w:eastAsia="仿宋" w:cs="仿宋"/>
                <w:color w:val="auto"/>
                <w:szCs w:val="21"/>
                <w:highlight w:val="none"/>
              </w:rPr>
            </w:pPr>
          </w:p>
        </w:tc>
        <w:tc>
          <w:tcPr>
            <w:tcW w:w="638" w:type="dxa"/>
            <w:vAlign w:val="center"/>
          </w:tcPr>
          <w:p w14:paraId="5CBFF561">
            <w:pPr>
              <w:jc w:val="center"/>
              <w:rPr>
                <w:rFonts w:ascii="仿宋" w:hAnsi="仿宋" w:eastAsia="仿宋" w:cs="仿宋"/>
                <w:color w:val="auto"/>
                <w:szCs w:val="21"/>
                <w:highlight w:val="none"/>
              </w:rPr>
            </w:pPr>
          </w:p>
        </w:tc>
        <w:tc>
          <w:tcPr>
            <w:tcW w:w="638" w:type="dxa"/>
            <w:vAlign w:val="center"/>
          </w:tcPr>
          <w:p w14:paraId="3E20BA32">
            <w:pPr>
              <w:jc w:val="center"/>
              <w:rPr>
                <w:rFonts w:ascii="仿宋" w:hAnsi="仿宋" w:eastAsia="仿宋" w:cs="仿宋"/>
                <w:color w:val="auto"/>
                <w:szCs w:val="21"/>
                <w:highlight w:val="none"/>
              </w:rPr>
            </w:pPr>
          </w:p>
        </w:tc>
        <w:tc>
          <w:tcPr>
            <w:tcW w:w="638" w:type="dxa"/>
            <w:vAlign w:val="center"/>
          </w:tcPr>
          <w:p w14:paraId="4A801DA6">
            <w:pPr>
              <w:jc w:val="center"/>
              <w:rPr>
                <w:rFonts w:ascii="仿宋" w:hAnsi="仿宋" w:eastAsia="仿宋" w:cs="仿宋"/>
                <w:color w:val="auto"/>
                <w:szCs w:val="21"/>
                <w:highlight w:val="none"/>
              </w:rPr>
            </w:pPr>
          </w:p>
        </w:tc>
        <w:tc>
          <w:tcPr>
            <w:tcW w:w="1060" w:type="dxa"/>
            <w:vAlign w:val="center"/>
          </w:tcPr>
          <w:p w14:paraId="7A6D658A">
            <w:pPr>
              <w:jc w:val="center"/>
              <w:rPr>
                <w:rFonts w:ascii="仿宋" w:hAnsi="仿宋" w:eastAsia="仿宋" w:cs="仿宋"/>
                <w:color w:val="auto"/>
                <w:szCs w:val="21"/>
                <w:highlight w:val="none"/>
              </w:rPr>
            </w:pPr>
          </w:p>
        </w:tc>
        <w:tc>
          <w:tcPr>
            <w:tcW w:w="3468" w:type="dxa"/>
            <w:vAlign w:val="center"/>
          </w:tcPr>
          <w:p w14:paraId="37EF8630">
            <w:pPr>
              <w:jc w:val="center"/>
              <w:rPr>
                <w:rFonts w:ascii="仿宋" w:hAnsi="仿宋" w:eastAsia="仿宋" w:cs="仿宋"/>
                <w:color w:val="auto"/>
                <w:szCs w:val="21"/>
                <w:highlight w:val="none"/>
              </w:rPr>
            </w:pPr>
          </w:p>
        </w:tc>
        <w:tc>
          <w:tcPr>
            <w:tcW w:w="1187" w:type="dxa"/>
            <w:vAlign w:val="center"/>
          </w:tcPr>
          <w:p w14:paraId="569400C5">
            <w:pPr>
              <w:jc w:val="center"/>
              <w:rPr>
                <w:rFonts w:ascii="仿宋" w:hAnsi="仿宋" w:eastAsia="仿宋" w:cs="仿宋"/>
                <w:color w:val="auto"/>
                <w:szCs w:val="21"/>
                <w:highlight w:val="none"/>
              </w:rPr>
            </w:pPr>
          </w:p>
        </w:tc>
      </w:tr>
      <w:tr w14:paraId="3EE9E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C0DF5C0">
            <w:pPr>
              <w:jc w:val="center"/>
              <w:rPr>
                <w:rFonts w:ascii="仿宋" w:hAnsi="仿宋" w:eastAsia="仿宋" w:cs="仿宋"/>
                <w:color w:val="auto"/>
                <w:szCs w:val="21"/>
                <w:highlight w:val="none"/>
              </w:rPr>
            </w:pPr>
          </w:p>
        </w:tc>
        <w:tc>
          <w:tcPr>
            <w:tcW w:w="1424" w:type="dxa"/>
            <w:vAlign w:val="center"/>
          </w:tcPr>
          <w:p w14:paraId="0936FA5C">
            <w:pPr>
              <w:jc w:val="center"/>
              <w:rPr>
                <w:rFonts w:ascii="仿宋" w:hAnsi="仿宋" w:eastAsia="仿宋" w:cs="仿宋"/>
                <w:color w:val="auto"/>
                <w:szCs w:val="21"/>
                <w:highlight w:val="none"/>
              </w:rPr>
            </w:pPr>
          </w:p>
        </w:tc>
        <w:tc>
          <w:tcPr>
            <w:tcW w:w="638" w:type="dxa"/>
            <w:vAlign w:val="center"/>
          </w:tcPr>
          <w:p w14:paraId="60823378">
            <w:pPr>
              <w:jc w:val="center"/>
              <w:rPr>
                <w:rFonts w:ascii="仿宋" w:hAnsi="仿宋" w:eastAsia="仿宋" w:cs="仿宋"/>
                <w:color w:val="auto"/>
                <w:szCs w:val="21"/>
                <w:highlight w:val="none"/>
              </w:rPr>
            </w:pPr>
          </w:p>
        </w:tc>
        <w:tc>
          <w:tcPr>
            <w:tcW w:w="638" w:type="dxa"/>
            <w:vAlign w:val="center"/>
          </w:tcPr>
          <w:p w14:paraId="270D2455">
            <w:pPr>
              <w:jc w:val="center"/>
              <w:rPr>
                <w:rFonts w:ascii="仿宋" w:hAnsi="仿宋" w:eastAsia="仿宋" w:cs="仿宋"/>
                <w:color w:val="auto"/>
                <w:szCs w:val="21"/>
                <w:highlight w:val="none"/>
              </w:rPr>
            </w:pPr>
          </w:p>
        </w:tc>
        <w:tc>
          <w:tcPr>
            <w:tcW w:w="638" w:type="dxa"/>
            <w:vAlign w:val="center"/>
          </w:tcPr>
          <w:p w14:paraId="103F5377">
            <w:pPr>
              <w:jc w:val="center"/>
              <w:rPr>
                <w:rFonts w:ascii="仿宋" w:hAnsi="仿宋" w:eastAsia="仿宋" w:cs="仿宋"/>
                <w:color w:val="auto"/>
                <w:szCs w:val="21"/>
                <w:highlight w:val="none"/>
              </w:rPr>
            </w:pPr>
          </w:p>
        </w:tc>
        <w:tc>
          <w:tcPr>
            <w:tcW w:w="1060" w:type="dxa"/>
            <w:vAlign w:val="center"/>
          </w:tcPr>
          <w:p w14:paraId="0AA5E620">
            <w:pPr>
              <w:jc w:val="center"/>
              <w:rPr>
                <w:rFonts w:ascii="仿宋" w:hAnsi="仿宋" w:eastAsia="仿宋" w:cs="仿宋"/>
                <w:color w:val="auto"/>
                <w:szCs w:val="21"/>
                <w:highlight w:val="none"/>
              </w:rPr>
            </w:pPr>
          </w:p>
        </w:tc>
        <w:tc>
          <w:tcPr>
            <w:tcW w:w="3468" w:type="dxa"/>
            <w:vAlign w:val="center"/>
          </w:tcPr>
          <w:p w14:paraId="63C7EF5E">
            <w:pPr>
              <w:jc w:val="center"/>
              <w:rPr>
                <w:rFonts w:ascii="仿宋" w:hAnsi="仿宋" w:eastAsia="仿宋" w:cs="仿宋"/>
                <w:color w:val="auto"/>
                <w:szCs w:val="21"/>
                <w:highlight w:val="none"/>
              </w:rPr>
            </w:pPr>
          </w:p>
        </w:tc>
        <w:tc>
          <w:tcPr>
            <w:tcW w:w="1187" w:type="dxa"/>
            <w:vAlign w:val="center"/>
          </w:tcPr>
          <w:p w14:paraId="3AB1323A">
            <w:pPr>
              <w:jc w:val="center"/>
              <w:rPr>
                <w:rFonts w:ascii="仿宋" w:hAnsi="仿宋" w:eastAsia="仿宋" w:cs="仿宋"/>
                <w:color w:val="auto"/>
                <w:szCs w:val="21"/>
                <w:highlight w:val="none"/>
              </w:rPr>
            </w:pPr>
          </w:p>
        </w:tc>
      </w:tr>
      <w:tr w14:paraId="7E7F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65A22450">
            <w:pPr>
              <w:jc w:val="center"/>
              <w:rPr>
                <w:rFonts w:ascii="仿宋" w:hAnsi="仿宋" w:eastAsia="仿宋" w:cs="仿宋"/>
                <w:color w:val="auto"/>
                <w:szCs w:val="21"/>
                <w:highlight w:val="none"/>
              </w:rPr>
            </w:pPr>
          </w:p>
        </w:tc>
        <w:tc>
          <w:tcPr>
            <w:tcW w:w="1424" w:type="dxa"/>
            <w:vAlign w:val="center"/>
          </w:tcPr>
          <w:p w14:paraId="50CF1B7C">
            <w:pPr>
              <w:jc w:val="center"/>
              <w:rPr>
                <w:rFonts w:ascii="仿宋" w:hAnsi="仿宋" w:eastAsia="仿宋" w:cs="仿宋"/>
                <w:color w:val="auto"/>
                <w:szCs w:val="21"/>
                <w:highlight w:val="none"/>
              </w:rPr>
            </w:pPr>
          </w:p>
        </w:tc>
        <w:tc>
          <w:tcPr>
            <w:tcW w:w="638" w:type="dxa"/>
            <w:vAlign w:val="center"/>
          </w:tcPr>
          <w:p w14:paraId="6D950EF5">
            <w:pPr>
              <w:jc w:val="center"/>
              <w:rPr>
                <w:rFonts w:ascii="仿宋" w:hAnsi="仿宋" w:eastAsia="仿宋" w:cs="仿宋"/>
                <w:color w:val="auto"/>
                <w:szCs w:val="21"/>
                <w:highlight w:val="none"/>
              </w:rPr>
            </w:pPr>
          </w:p>
        </w:tc>
        <w:tc>
          <w:tcPr>
            <w:tcW w:w="638" w:type="dxa"/>
            <w:vAlign w:val="center"/>
          </w:tcPr>
          <w:p w14:paraId="717305F7">
            <w:pPr>
              <w:jc w:val="center"/>
              <w:rPr>
                <w:rFonts w:ascii="仿宋" w:hAnsi="仿宋" w:eastAsia="仿宋" w:cs="仿宋"/>
                <w:color w:val="auto"/>
                <w:szCs w:val="21"/>
                <w:highlight w:val="none"/>
              </w:rPr>
            </w:pPr>
          </w:p>
        </w:tc>
        <w:tc>
          <w:tcPr>
            <w:tcW w:w="638" w:type="dxa"/>
            <w:vAlign w:val="center"/>
          </w:tcPr>
          <w:p w14:paraId="71FA4C45">
            <w:pPr>
              <w:jc w:val="center"/>
              <w:rPr>
                <w:rFonts w:ascii="仿宋" w:hAnsi="仿宋" w:eastAsia="仿宋" w:cs="仿宋"/>
                <w:color w:val="auto"/>
                <w:szCs w:val="21"/>
                <w:highlight w:val="none"/>
              </w:rPr>
            </w:pPr>
          </w:p>
        </w:tc>
        <w:tc>
          <w:tcPr>
            <w:tcW w:w="1060" w:type="dxa"/>
            <w:vAlign w:val="center"/>
          </w:tcPr>
          <w:p w14:paraId="179DF540">
            <w:pPr>
              <w:jc w:val="center"/>
              <w:rPr>
                <w:rFonts w:ascii="仿宋" w:hAnsi="仿宋" w:eastAsia="仿宋" w:cs="仿宋"/>
                <w:color w:val="auto"/>
                <w:szCs w:val="21"/>
                <w:highlight w:val="none"/>
              </w:rPr>
            </w:pPr>
          </w:p>
        </w:tc>
        <w:tc>
          <w:tcPr>
            <w:tcW w:w="3468" w:type="dxa"/>
            <w:vAlign w:val="center"/>
          </w:tcPr>
          <w:p w14:paraId="544C5360">
            <w:pPr>
              <w:jc w:val="center"/>
              <w:rPr>
                <w:rFonts w:ascii="仿宋" w:hAnsi="仿宋" w:eastAsia="仿宋" w:cs="仿宋"/>
                <w:color w:val="auto"/>
                <w:szCs w:val="21"/>
                <w:highlight w:val="none"/>
              </w:rPr>
            </w:pPr>
          </w:p>
        </w:tc>
        <w:tc>
          <w:tcPr>
            <w:tcW w:w="1187" w:type="dxa"/>
            <w:vAlign w:val="center"/>
          </w:tcPr>
          <w:p w14:paraId="2F353A6A">
            <w:pPr>
              <w:jc w:val="center"/>
              <w:rPr>
                <w:rFonts w:ascii="仿宋" w:hAnsi="仿宋" w:eastAsia="仿宋" w:cs="仿宋"/>
                <w:color w:val="auto"/>
                <w:szCs w:val="21"/>
                <w:highlight w:val="none"/>
              </w:rPr>
            </w:pPr>
          </w:p>
        </w:tc>
      </w:tr>
      <w:tr w14:paraId="495E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6257C708">
            <w:pPr>
              <w:jc w:val="center"/>
              <w:rPr>
                <w:rFonts w:ascii="仿宋" w:hAnsi="仿宋" w:eastAsia="仿宋" w:cs="仿宋"/>
                <w:color w:val="auto"/>
                <w:szCs w:val="21"/>
                <w:highlight w:val="none"/>
              </w:rPr>
            </w:pPr>
          </w:p>
        </w:tc>
        <w:tc>
          <w:tcPr>
            <w:tcW w:w="1424" w:type="dxa"/>
            <w:vAlign w:val="center"/>
          </w:tcPr>
          <w:p w14:paraId="5A748FFA">
            <w:pPr>
              <w:jc w:val="center"/>
              <w:rPr>
                <w:rFonts w:ascii="仿宋" w:hAnsi="仿宋" w:eastAsia="仿宋" w:cs="仿宋"/>
                <w:color w:val="auto"/>
                <w:szCs w:val="21"/>
                <w:highlight w:val="none"/>
              </w:rPr>
            </w:pPr>
          </w:p>
        </w:tc>
        <w:tc>
          <w:tcPr>
            <w:tcW w:w="638" w:type="dxa"/>
            <w:vAlign w:val="center"/>
          </w:tcPr>
          <w:p w14:paraId="702C91FF">
            <w:pPr>
              <w:jc w:val="center"/>
              <w:rPr>
                <w:rFonts w:ascii="仿宋" w:hAnsi="仿宋" w:eastAsia="仿宋" w:cs="仿宋"/>
                <w:color w:val="auto"/>
                <w:szCs w:val="21"/>
                <w:highlight w:val="none"/>
              </w:rPr>
            </w:pPr>
          </w:p>
        </w:tc>
        <w:tc>
          <w:tcPr>
            <w:tcW w:w="638" w:type="dxa"/>
            <w:vAlign w:val="center"/>
          </w:tcPr>
          <w:p w14:paraId="46BDD084">
            <w:pPr>
              <w:jc w:val="center"/>
              <w:rPr>
                <w:rFonts w:ascii="仿宋" w:hAnsi="仿宋" w:eastAsia="仿宋" w:cs="仿宋"/>
                <w:color w:val="auto"/>
                <w:szCs w:val="21"/>
                <w:highlight w:val="none"/>
              </w:rPr>
            </w:pPr>
          </w:p>
        </w:tc>
        <w:tc>
          <w:tcPr>
            <w:tcW w:w="638" w:type="dxa"/>
            <w:vAlign w:val="center"/>
          </w:tcPr>
          <w:p w14:paraId="3765B664">
            <w:pPr>
              <w:jc w:val="center"/>
              <w:rPr>
                <w:rFonts w:ascii="仿宋" w:hAnsi="仿宋" w:eastAsia="仿宋" w:cs="仿宋"/>
                <w:color w:val="auto"/>
                <w:szCs w:val="21"/>
                <w:highlight w:val="none"/>
              </w:rPr>
            </w:pPr>
          </w:p>
        </w:tc>
        <w:tc>
          <w:tcPr>
            <w:tcW w:w="1060" w:type="dxa"/>
            <w:vAlign w:val="center"/>
          </w:tcPr>
          <w:p w14:paraId="65A29AD7">
            <w:pPr>
              <w:jc w:val="center"/>
              <w:rPr>
                <w:rFonts w:ascii="仿宋" w:hAnsi="仿宋" w:eastAsia="仿宋" w:cs="仿宋"/>
                <w:color w:val="auto"/>
                <w:szCs w:val="21"/>
                <w:highlight w:val="none"/>
              </w:rPr>
            </w:pPr>
          </w:p>
        </w:tc>
        <w:tc>
          <w:tcPr>
            <w:tcW w:w="3468" w:type="dxa"/>
            <w:vAlign w:val="center"/>
          </w:tcPr>
          <w:p w14:paraId="3FDACAB4">
            <w:pPr>
              <w:jc w:val="center"/>
              <w:rPr>
                <w:rFonts w:ascii="仿宋" w:hAnsi="仿宋" w:eastAsia="仿宋" w:cs="仿宋"/>
                <w:color w:val="auto"/>
                <w:szCs w:val="21"/>
                <w:highlight w:val="none"/>
              </w:rPr>
            </w:pPr>
          </w:p>
        </w:tc>
        <w:tc>
          <w:tcPr>
            <w:tcW w:w="1187" w:type="dxa"/>
            <w:vAlign w:val="center"/>
          </w:tcPr>
          <w:p w14:paraId="797C7B30">
            <w:pPr>
              <w:jc w:val="center"/>
              <w:rPr>
                <w:rFonts w:ascii="仿宋" w:hAnsi="仿宋" w:eastAsia="仿宋" w:cs="仿宋"/>
                <w:color w:val="auto"/>
                <w:szCs w:val="21"/>
                <w:highlight w:val="none"/>
              </w:rPr>
            </w:pPr>
          </w:p>
        </w:tc>
      </w:tr>
      <w:tr w14:paraId="44F7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2A581B8D">
            <w:pPr>
              <w:jc w:val="center"/>
              <w:rPr>
                <w:rFonts w:ascii="仿宋" w:hAnsi="仿宋" w:eastAsia="仿宋" w:cs="仿宋"/>
                <w:color w:val="auto"/>
                <w:szCs w:val="21"/>
                <w:highlight w:val="none"/>
              </w:rPr>
            </w:pPr>
          </w:p>
        </w:tc>
        <w:tc>
          <w:tcPr>
            <w:tcW w:w="1424" w:type="dxa"/>
            <w:vAlign w:val="center"/>
          </w:tcPr>
          <w:p w14:paraId="79AAD3FE">
            <w:pPr>
              <w:jc w:val="center"/>
              <w:rPr>
                <w:rFonts w:ascii="仿宋" w:hAnsi="仿宋" w:eastAsia="仿宋" w:cs="仿宋"/>
                <w:color w:val="auto"/>
                <w:szCs w:val="21"/>
                <w:highlight w:val="none"/>
              </w:rPr>
            </w:pPr>
          </w:p>
        </w:tc>
        <w:tc>
          <w:tcPr>
            <w:tcW w:w="638" w:type="dxa"/>
            <w:vAlign w:val="center"/>
          </w:tcPr>
          <w:p w14:paraId="44A79540">
            <w:pPr>
              <w:jc w:val="center"/>
              <w:rPr>
                <w:rFonts w:ascii="仿宋" w:hAnsi="仿宋" w:eastAsia="仿宋" w:cs="仿宋"/>
                <w:color w:val="auto"/>
                <w:szCs w:val="21"/>
                <w:highlight w:val="none"/>
              </w:rPr>
            </w:pPr>
          </w:p>
        </w:tc>
        <w:tc>
          <w:tcPr>
            <w:tcW w:w="638" w:type="dxa"/>
            <w:vAlign w:val="center"/>
          </w:tcPr>
          <w:p w14:paraId="7D4925D1">
            <w:pPr>
              <w:jc w:val="center"/>
              <w:rPr>
                <w:rFonts w:ascii="仿宋" w:hAnsi="仿宋" w:eastAsia="仿宋" w:cs="仿宋"/>
                <w:color w:val="auto"/>
                <w:szCs w:val="21"/>
                <w:highlight w:val="none"/>
              </w:rPr>
            </w:pPr>
          </w:p>
        </w:tc>
        <w:tc>
          <w:tcPr>
            <w:tcW w:w="638" w:type="dxa"/>
            <w:vAlign w:val="center"/>
          </w:tcPr>
          <w:p w14:paraId="08C67827">
            <w:pPr>
              <w:jc w:val="center"/>
              <w:rPr>
                <w:rFonts w:ascii="仿宋" w:hAnsi="仿宋" w:eastAsia="仿宋" w:cs="仿宋"/>
                <w:color w:val="auto"/>
                <w:szCs w:val="21"/>
                <w:highlight w:val="none"/>
              </w:rPr>
            </w:pPr>
          </w:p>
        </w:tc>
        <w:tc>
          <w:tcPr>
            <w:tcW w:w="1060" w:type="dxa"/>
            <w:vAlign w:val="center"/>
          </w:tcPr>
          <w:p w14:paraId="39185C01">
            <w:pPr>
              <w:jc w:val="center"/>
              <w:rPr>
                <w:rFonts w:ascii="仿宋" w:hAnsi="仿宋" w:eastAsia="仿宋" w:cs="仿宋"/>
                <w:color w:val="auto"/>
                <w:szCs w:val="21"/>
                <w:highlight w:val="none"/>
              </w:rPr>
            </w:pPr>
          </w:p>
        </w:tc>
        <w:tc>
          <w:tcPr>
            <w:tcW w:w="3468" w:type="dxa"/>
            <w:vAlign w:val="center"/>
          </w:tcPr>
          <w:p w14:paraId="4F1D70C6">
            <w:pPr>
              <w:jc w:val="center"/>
              <w:rPr>
                <w:rFonts w:ascii="仿宋" w:hAnsi="仿宋" w:eastAsia="仿宋" w:cs="仿宋"/>
                <w:color w:val="auto"/>
                <w:szCs w:val="21"/>
                <w:highlight w:val="none"/>
              </w:rPr>
            </w:pPr>
          </w:p>
        </w:tc>
        <w:tc>
          <w:tcPr>
            <w:tcW w:w="1187" w:type="dxa"/>
            <w:vAlign w:val="center"/>
          </w:tcPr>
          <w:p w14:paraId="448BEE38">
            <w:pPr>
              <w:jc w:val="center"/>
              <w:rPr>
                <w:rFonts w:ascii="仿宋" w:hAnsi="仿宋" w:eastAsia="仿宋" w:cs="仿宋"/>
                <w:color w:val="auto"/>
                <w:szCs w:val="21"/>
                <w:highlight w:val="none"/>
              </w:rPr>
            </w:pPr>
          </w:p>
        </w:tc>
      </w:tr>
      <w:tr w14:paraId="3271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77F62D01">
            <w:pPr>
              <w:jc w:val="center"/>
              <w:rPr>
                <w:rFonts w:ascii="仿宋" w:hAnsi="仿宋" w:eastAsia="仿宋" w:cs="仿宋"/>
                <w:color w:val="auto"/>
                <w:szCs w:val="21"/>
                <w:highlight w:val="none"/>
              </w:rPr>
            </w:pPr>
          </w:p>
        </w:tc>
        <w:tc>
          <w:tcPr>
            <w:tcW w:w="1424" w:type="dxa"/>
            <w:vAlign w:val="center"/>
          </w:tcPr>
          <w:p w14:paraId="61837782">
            <w:pPr>
              <w:jc w:val="center"/>
              <w:rPr>
                <w:rFonts w:ascii="仿宋" w:hAnsi="仿宋" w:eastAsia="仿宋" w:cs="仿宋"/>
                <w:color w:val="auto"/>
                <w:szCs w:val="21"/>
                <w:highlight w:val="none"/>
              </w:rPr>
            </w:pPr>
          </w:p>
        </w:tc>
        <w:tc>
          <w:tcPr>
            <w:tcW w:w="638" w:type="dxa"/>
            <w:vAlign w:val="center"/>
          </w:tcPr>
          <w:p w14:paraId="5A49A3BE">
            <w:pPr>
              <w:jc w:val="center"/>
              <w:rPr>
                <w:rFonts w:ascii="仿宋" w:hAnsi="仿宋" w:eastAsia="仿宋" w:cs="仿宋"/>
                <w:color w:val="auto"/>
                <w:szCs w:val="21"/>
                <w:highlight w:val="none"/>
              </w:rPr>
            </w:pPr>
          </w:p>
        </w:tc>
        <w:tc>
          <w:tcPr>
            <w:tcW w:w="638" w:type="dxa"/>
            <w:vAlign w:val="center"/>
          </w:tcPr>
          <w:p w14:paraId="7F9F0EE5">
            <w:pPr>
              <w:jc w:val="center"/>
              <w:rPr>
                <w:rFonts w:ascii="仿宋" w:hAnsi="仿宋" w:eastAsia="仿宋" w:cs="仿宋"/>
                <w:color w:val="auto"/>
                <w:szCs w:val="21"/>
                <w:highlight w:val="none"/>
              </w:rPr>
            </w:pPr>
          </w:p>
        </w:tc>
        <w:tc>
          <w:tcPr>
            <w:tcW w:w="638" w:type="dxa"/>
            <w:vAlign w:val="center"/>
          </w:tcPr>
          <w:p w14:paraId="16D7D708">
            <w:pPr>
              <w:jc w:val="center"/>
              <w:rPr>
                <w:rFonts w:ascii="仿宋" w:hAnsi="仿宋" w:eastAsia="仿宋" w:cs="仿宋"/>
                <w:color w:val="auto"/>
                <w:szCs w:val="21"/>
                <w:highlight w:val="none"/>
              </w:rPr>
            </w:pPr>
          </w:p>
        </w:tc>
        <w:tc>
          <w:tcPr>
            <w:tcW w:w="1060" w:type="dxa"/>
            <w:vAlign w:val="center"/>
          </w:tcPr>
          <w:p w14:paraId="67E4F377">
            <w:pPr>
              <w:jc w:val="center"/>
              <w:rPr>
                <w:rFonts w:ascii="仿宋" w:hAnsi="仿宋" w:eastAsia="仿宋" w:cs="仿宋"/>
                <w:color w:val="auto"/>
                <w:szCs w:val="21"/>
                <w:highlight w:val="none"/>
              </w:rPr>
            </w:pPr>
          </w:p>
        </w:tc>
        <w:tc>
          <w:tcPr>
            <w:tcW w:w="3468" w:type="dxa"/>
            <w:vAlign w:val="center"/>
          </w:tcPr>
          <w:p w14:paraId="2AF4A04C">
            <w:pPr>
              <w:jc w:val="center"/>
              <w:rPr>
                <w:rFonts w:ascii="仿宋" w:hAnsi="仿宋" w:eastAsia="仿宋" w:cs="仿宋"/>
                <w:color w:val="auto"/>
                <w:szCs w:val="21"/>
                <w:highlight w:val="none"/>
              </w:rPr>
            </w:pPr>
          </w:p>
        </w:tc>
        <w:tc>
          <w:tcPr>
            <w:tcW w:w="1187" w:type="dxa"/>
            <w:vAlign w:val="center"/>
          </w:tcPr>
          <w:p w14:paraId="55F7BA48">
            <w:pPr>
              <w:jc w:val="center"/>
              <w:rPr>
                <w:rFonts w:ascii="仿宋" w:hAnsi="仿宋" w:eastAsia="仿宋" w:cs="仿宋"/>
                <w:color w:val="auto"/>
                <w:szCs w:val="21"/>
                <w:highlight w:val="none"/>
              </w:rPr>
            </w:pPr>
          </w:p>
        </w:tc>
      </w:tr>
      <w:tr w14:paraId="18A62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734198D0">
            <w:pPr>
              <w:jc w:val="center"/>
              <w:rPr>
                <w:rFonts w:ascii="仿宋" w:hAnsi="仿宋" w:eastAsia="仿宋" w:cs="仿宋"/>
                <w:color w:val="auto"/>
                <w:szCs w:val="21"/>
                <w:highlight w:val="none"/>
              </w:rPr>
            </w:pPr>
          </w:p>
        </w:tc>
        <w:tc>
          <w:tcPr>
            <w:tcW w:w="1424" w:type="dxa"/>
            <w:vAlign w:val="center"/>
          </w:tcPr>
          <w:p w14:paraId="17DD014A">
            <w:pPr>
              <w:jc w:val="center"/>
              <w:rPr>
                <w:rFonts w:ascii="仿宋" w:hAnsi="仿宋" w:eastAsia="仿宋" w:cs="仿宋"/>
                <w:color w:val="auto"/>
                <w:szCs w:val="21"/>
                <w:highlight w:val="none"/>
              </w:rPr>
            </w:pPr>
          </w:p>
        </w:tc>
        <w:tc>
          <w:tcPr>
            <w:tcW w:w="638" w:type="dxa"/>
            <w:vAlign w:val="center"/>
          </w:tcPr>
          <w:p w14:paraId="3B1E3AF2">
            <w:pPr>
              <w:jc w:val="center"/>
              <w:rPr>
                <w:rFonts w:ascii="仿宋" w:hAnsi="仿宋" w:eastAsia="仿宋" w:cs="仿宋"/>
                <w:color w:val="auto"/>
                <w:szCs w:val="21"/>
                <w:highlight w:val="none"/>
              </w:rPr>
            </w:pPr>
          </w:p>
        </w:tc>
        <w:tc>
          <w:tcPr>
            <w:tcW w:w="638" w:type="dxa"/>
            <w:vAlign w:val="center"/>
          </w:tcPr>
          <w:p w14:paraId="5D0A3DD2">
            <w:pPr>
              <w:jc w:val="center"/>
              <w:rPr>
                <w:rFonts w:ascii="仿宋" w:hAnsi="仿宋" w:eastAsia="仿宋" w:cs="仿宋"/>
                <w:color w:val="auto"/>
                <w:szCs w:val="21"/>
                <w:highlight w:val="none"/>
              </w:rPr>
            </w:pPr>
          </w:p>
        </w:tc>
        <w:tc>
          <w:tcPr>
            <w:tcW w:w="638" w:type="dxa"/>
            <w:vAlign w:val="center"/>
          </w:tcPr>
          <w:p w14:paraId="0BC1F8CE">
            <w:pPr>
              <w:jc w:val="center"/>
              <w:rPr>
                <w:rFonts w:ascii="仿宋" w:hAnsi="仿宋" w:eastAsia="仿宋" w:cs="仿宋"/>
                <w:color w:val="auto"/>
                <w:szCs w:val="21"/>
                <w:highlight w:val="none"/>
              </w:rPr>
            </w:pPr>
          </w:p>
        </w:tc>
        <w:tc>
          <w:tcPr>
            <w:tcW w:w="1060" w:type="dxa"/>
            <w:vAlign w:val="center"/>
          </w:tcPr>
          <w:p w14:paraId="546455F7">
            <w:pPr>
              <w:jc w:val="center"/>
              <w:rPr>
                <w:rFonts w:ascii="仿宋" w:hAnsi="仿宋" w:eastAsia="仿宋" w:cs="仿宋"/>
                <w:color w:val="auto"/>
                <w:szCs w:val="21"/>
                <w:highlight w:val="none"/>
              </w:rPr>
            </w:pPr>
          </w:p>
        </w:tc>
        <w:tc>
          <w:tcPr>
            <w:tcW w:w="3468" w:type="dxa"/>
            <w:vAlign w:val="center"/>
          </w:tcPr>
          <w:p w14:paraId="033FA33D">
            <w:pPr>
              <w:jc w:val="center"/>
              <w:rPr>
                <w:rFonts w:ascii="仿宋" w:hAnsi="仿宋" w:eastAsia="仿宋" w:cs="仿宋"/>
                <w:color w:val="auto"/>
                <w:szCs w:val="21"/>
                <w:highlight w:val="none"/>
              </w:rPr>
            </w:pPr>
          </w:p>
        </w:tc>
        <w:tc>
          <w:tcPr>
            <w:tcW w:w="1187" w:type="dxa"/>
            <w:vAlign w:val="center"/>
          </w:tcPr>
          <w:p w14:paraId="364083F2">
            <w:pPr>
              <w:jc w:val="center"/>
              <w:rPr>
                <w:rFonts w:ascii="仿宋" w:hAnsi="仿宋" w:eastAsia="仿宋" w:cs="仿宋"/>
                <w:color w:val="auto"/>
                <w:szCs w:val="21"/>
                <w:highlight w:val="none"/>
              </w:rPr>
            </w:pPr>
          </w:p>
        </w:tc>
      </w:tr>
      <w:tr w14:paraId="7F799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5AF92E4C">
            <w:pPr>
              <w:jc w:val="center"/>
              <w:rPr>
                <w:rFonts w:ascii="仿宋" w:hAnsi="仿宋" w:eastAsia="仿宋" w:cs="仿宋"/>
                <w:color w:val="auto"/>
                <w:szCs w:val="21"/>
                <w:highlight w:val="none"/>
              </w:rPr>
            </w:pPr>
          </w:p>
        </w:tc>
        <w:tc>
          <w:tcPr>
            <w:tcW w:w="1424" w:type="dxa"/>
            <w:vAlign w:val="center"/>
          </w:tcPr>
          <w:p w14:paraId="34FA3B34">
            <w:pPr>
              <w:jc w:val="center"/>
              <w:rPr>
                <w:rFonts w:ascii="仿宋" w:hAnsi="仿宋" w:eastAsia="仿宋" w:cs="仿宋"/>
                <w:color w:val="auto"/>
                <w:szCs w:val="21"/>
                <w:highlight w:val="none"/>
              </w:rPr>
            </w:pPr>
          </w:p>
        </w:tc>
        <w:tc>
          <w:tcPr>
            <w:tcW w:w="638" w:type="dxa"/>
            <w:vAlign w:val="center"/>
          </w:tcPr>
          <w:p w14:paraId="3D1601C5">
            <w:pPr>
              <w:jc w:val="center"/>
              <w:rPr>
                <w:rFonts w:ascii="仿宋" w:hAnsi="仿宋" w:eastAsia="仿宋" w:cs="仿宋"/>
                <w:color w:val="auto"/>
                <w:szCs w:val="21"/>
                <w:highlight w:val="none"/>
              </w:rPr>
            </w:pPr>
          </w:p>
        </w:tc>
        <w:tc>
          <w:tcPr>
            <w:tcW w:w="638" w:type="dxa"/>
            <w:vAlign w:val="center"/>
          </w:tcPr>
          <w:p w14:paraId="3A5A8B0D">
            <w:pPr>
              <w:jc w:val="center"/>
              <w:rPr>
                <w:rFonts w:ascii="仿宋" w:hAnsi="仿宋" w:eastAsia="仿宋" w:cs="仿宋"/>
                <w:color w:val="auto"/>
                <w:szCs w:val="21"/>
                <w:highlight w:val="none"/>
              </w:rPr>
            </w:pPr>
          </w:p>
        </w:tc>
        <w:tc>
          <w:tcPr>
            <w:tcW w:w="638" w:type="dxa"/>
            <w:vAlign w:val="center"/>
          </w:tcPr>
          <w:p w14:paraId="44285F65">
            <w:pPr>
              <w:jc w:val="center"/>
              <w:rPr>
                <w:rFonts w:ascii="仿宋" w:hAnsi="仿宋" w:eastAsia="仿宋" w:cs="仿宋"/>
                <w:color w:val="auto"/>
                <w:szCs w:val="21"/>
                <w:highlight w:val="none"/>
              </w:rPr>
            </w:pPr>
          </w:p>
        </w:tc>
        <w:tc>
          <w:tcPr>
            <w:tcW w:w="1060" w:type="dxa"/>
            <w:vAlign w:val="center"/>
          </w:tcPr>
          <w:p w14:paraId="62428ADA">
            <w:pPr>
              <w:jc w:val="center"/>
              <w:rPr>
                <w:rFonts w:ascii="仿宋" w:hAnsi="仿宋" w:eastAsia="仿宋" w:cs="仿宋"/>
                <w:color w:val="auto"/>
                <w:szCs w:val="21"/>
                <w:highlight w:val="none"/>
              </w:rPr>
            </w:pPr>
          </w:p>
        </w:tc>
        <w:tc>
          <w:tcPr>
            <w:tcW w:w="3468" w:type="dxa"/>
            <w:vAlign w:val="center"/>
          </w:tcPr>
          <w:p w14:paraId="2367B753">
            <w:pPr>
              <w:jc w:val="center"/>
              <w:rPr>
                <w:rFonts w:ascii="仿宋" w:hAnsi="仿宋" w:eastAsia="仿宋" w:cs="仿宋"/>
                <w:color w:val="auto"/>
                <w:szCs w:val="21"/>
                <w:highlight w:val="none"/>
              </w:rPr>
            </w:pPr>
          </w:p>
        </w:tc>
        <w:tc>
          <w:tcPr>
            <w:tcW w:w="1187" w:type="dxa"/>
            <w:vAlign w:val="center"/>
          </w:tcPr>
          <w:p w14:paraId="04322D2E">
            <w:pPr>
              <w:jc w:val="center"/>
              <w:rPr>
                <w:rFonts w:ascii="仿宋" w:hAnsi="仿宋" w:eastAsia="仿宋" w:cs="仿宋"/>
                <w:color w:val="auto"/>
                <w:szCs w:val="21"/>
                <w:highlight w:val="none"/>
              </w:rPr>
            </w:pPr>
          </w:p>
        </w:tc>
      </w:tr>
      <w:tr w14:paraId="5DC3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7697B135">
            <w:pPr>
              <w:jc w:val="center"/>
              <w:rPr>
                <w:rFonts w:ascii="仿宋" w:hAnsi="仿宋" w:eastAsia="仿宋" w:cs="仿宋"/>
                <w:color w:val="auto"/>
                <w:szCs w:val="21"/>
                <w:highlight w:val="none"/>
              </w:rPr>
            </w:pPr>
          </w:p>
        </w:tc>
        <w:tc>
          <w:tcPr>
            <w:tcW w:w="1424" w:type="dxa"/>
            <w:vAlign w:val="center"/>
          </w:tcPr>
          <w:p w14:paraId="4CD40BCD">
            <w:pPr>
              <w:jc w:val="center"/>
              <w:rPr>
                <w:rFonts w:ascii="仿宋" w:hAnsi="仿宋" w:eastAsia="仿宋" w:cs="仿宋"/>
                <w:color w:val="auto"/>
                <w:szCs w:val="21"/>
                <w:highlight w:val="none"/>
              </w:rPr>
            </w:pPr>
          </w:p>
        </w:tc>
        <w:tc>
          <w:tcPr>
            <w:tcW w:w="638" w:type="dxa"/>
            <w:vAlign w:val="center"/>
          </w:tcPr>
          <w:p w14:paraId="7ABD27DC">
            <w:pPr>
              <w:jc w:val="center"/>
              <w:rPr>
                <w:rFonts w:ascii="仿宋" w:hAnsi="仿宋" w:eastAsia="仿宋" w:cs="仿宋"/>
                <w:color w:val="auto"/>
                <w:szCs w:val="21"/>
                <w:highlight w:val="none"/>
              </w:rPr>
            </w:pPr>
          </w:p>
        </w:tc>
        <w:tc>
          <w:tcPr>
            <w:tcW w:w="638" w:type="dxa"/>
            <w:vAlign w:val="center"/>
          </w:tcPr>
          <w:p w14:paraId="6C3C7FD5">
            <w:pPr>
              <w:jc w:val="center"/>
              <w:rPr>
                <w:rFonts w:ascii="仿宋" w:hAnsi="仿宋" w:eastAsia="仿宋" w:cs="仿宋"/>
                <w:color w:val="auto"/>
                <w:szCs w:val="21"/>
                <w:highlight w:val="none"/>
              </w:rPr>
            </w:pPr>
          </w:p>
        </w:tc>
        <w:tc>
          <w:tcPr>
            <w:tcW w:w="638" w:type="dxa"/>
            <w:vAlign w:val="center"/>
          </w:tcPr>
          <w:p w14:paraId="5C254CA2">
            <w:pPr>
              <w:jc w:val="center"/>
              <w:rPr>
                <w:rFonts w:ascii="仿宋" w:hAnsi="仿宋" w:eastAsia="仿宋" w:cs="仿宋"/>
                <w:color w:val="auto"/>
                <w:szCs w:val="21"/>
                <w:highlight w:val="none"/>
              </w:rPr>
            </w:pPr>
          </w:p>
        </w:tc>
        <w:tc>
          <w:tcPr>
            <w:tcW w:w="1060" w:type="dxa"/>
            <w:vAlign w:val="center"/>
          </w:tcPr>
          <w:p w14:paraId="76A797F3">
            <w:pPr>
              <w:jc w:val="center"/>
              <w:rPr>
                <w:rFonts w:ascii="仿宋" w:hAnsi="仿宋" w:eastAsia="仿宋" w:cs="仿宋"/>
                <w:color w:val="auto"/>
                <w:szCs w:val="21"/>
                <w:highlight w:val="none"/>
              </w:rPr>
            </w:pPr>
          </w:p>
        </w:tc>
        <w:tc>
          <w:tcPr>
            <w:tcW w:w="3468" w:type="dxa"/>
            <w:vAlign w:val="center"/>
          </w:tcPr>
          <w:p w14:paraId="3559B8F7">
            <w:pPr>
              <w:jc w:val="center"/>
              <w:rPr>
                <w:rFonts w:ascii="仿宋" w:hAnsi="仿宋" w:eastAsia="仿宋" w:cs="仿宋"/>
                <w:color w:val="auto"/>
                <w:szCs w:val="21"/>
                <w:highlight w:val="none"/>
              </w:rPr>
            </w:pPr>
          </w:p>
        </w:tc>
        <w:tc>
          <w:tcPr>
            <w:tcW w:w="1187" w:type="dxa"/>
            <w:vAlign w:val="center"/>
          </w:tcPr>
          <w:p w14:paraId="341BA771">
            <w:pPr>
              <w:jc w:val="center"/>
              <w:rPr>
                <w:rFonts w:ascii="仿宋" w:hAnsi="仿宋" w:eastAsia="仿宋" w:cs="仿宋"/>
                <w:color w:val="auto"/>
                <w:szCs w:val="21"/>
                <w:highlight w:val="none"/>
              </w:rPr>
            </w:pPr>
          </w:p>
        </w:tc>
      </w:tr>
      <w:tr w14:paraId="5091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1ADA04CC">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1424" w:type="dxa"/>
            <w:vAlign w:val="center"/>
          </w:tcPr>
          <w:p w14:paraId="6169D77B">
            <w:pPr>
              <w:jc w:val="center"/>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638" w:type="dxa"/>
            <w:vAlign w:val="center"/>
          </w:tcPr>
          <w:p w14:paraId="6E5FC459">
            <w:pPr>
              <w:jc w:val="center"/>
              <w:rPr>
                <w:rFonts w:ascii="仿宋" w:hAnsi="仿宋" w:eastAsia="仿宋" w:cs="仿宋"/>
                <w:color w:val="auto"/>
                <w:szCs w:val="21"/>
                <w:highlight w:val="none"/>
              </w:rPr>
            </w:pPr>
          </w:p>
        </w:tc>
        <w:tc>
          <w:tcPr>
            <w:tcW w:w="638" w:type="dxa"/>
            <w:vAlign w:val="center"/>
          </w:tcPr>
          <w:p w14:paraId="40AAD2AF">
            <w:pPr>
              <w:jc w:val="center"/>
              <w:rPr>
                <w:rFonts w:ascii="仿宋" w:hAnsi="仿宋" w:eastAsia="仿宋" w:cs="仿宋"/>
                <w:color w:val="auto"/>
                <w:szCs w:val="21"/>
                <w:highlight w:val="none"/>
              </w:rPr>
            </w:pPr>
          </w:p>
        </w:tc>
        <w:tc>
          <w:tcPr>
            <w:tcW w:w="638" w:type="dxa"/>
            <w:vAlign w:val="center"/>
          </w:tcPr>
          <w:p w14:paraId="14830D4C">
            <w:pPr>
              <w:jc w:val="center"/>
              <w:rPr>
                <w:rFonts w:ascii="仿宋" w:hAnsi="仿宋" w:eastAsia="仿宋" w:cs="仿宋"/>
                <w:color w:val="auto"/>
                <w:szCs w:val="21"/>
                <w:highlight w:val="none"/>
              </w:rPr>
            </w:pPr>
          </w:p>
        </w:tc>
        <w:tc>
          <w:tcPr>
            <w:tcW w:w="1060" w:type="dxa"/>
            <w:vAlign w:val="center"/>
          </w:tcPr>
          <w:p w14:paraId="7328973C">
            <w:pPr>
              <w:jc w:val="center"/>
              <w:rPr>
                <w:rFonts w:ascii="仿宋" w:hAnsi="仿宋" w:eastAsia="仿宋" w:cs="仿宋"/>
                <w:color w:val="auto"/>
                <w:szCs w:val="21"/>
                <w:highlight w:val="none"/>
              </w:rPr>
            </w:pPr>
          </w:p>
        </w:tc>
        <w:tc>
          <w:tcPr>
            <w:tcW w:w="3468" w:type="dxa"/>
            <w:vAlign w:val="center"/>
          </w:tcPr>
          <w:p w14:paraId="5B54BF5E">
            <w:pPr>
              <w:jc w:val="center"/>
              <w:rPr>
                <w:rFonts w:ascii="仿宋" w:hAnsi="仿宋" w:eastAsia="仿宋" w:cs="仿宋"/>
                <w:color w:val="auto"/>
                <w:szCs w:val="21"/>
                <w:highlight w:val="none"/>
              </w:rPr>
            </w:pPr>
          </w:p>
        </w:tc>
        <w:tc>
          <w:tcPr>
            <w:tcW w:w="1187" w:type="dxa"/>
            <w:vAlign w:val="center"/>
          </w:tcPr>
          <w:p w14:paraId="16EC3E6F">
            <w:pPr>
              <w:jc w:val="center"/>
              <w:rPr>
                <w:rFonts w:ascii="仿宋" w:hAnsi="仿宋" w:eastAsia="仿宋" w:cs="仿宋"/>
                <w:color w:val="auto"/>
                <w:szCs w:val="21"/>
                <w:highlight w:val="none"/>
              </w:rPr>
            </w:pPr>
          </w:p>
        </w:tc>
      </w:tr>
      <w:tr w14:paraId="56CA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38" w:type="dxa"/>
            <w:vAlign w:val="center"/>
          </w:tcPr>
          <w:p w14:paraId="7161DB93">
            <w:pPr>
              <w:jc w:val="center"/>
              <w:rPr>
                <w:rFonts w:ascii="仿宋" w:hAnsi="仿宋" w:eastAsia="仿宋" w:cs="仿宋"/>
                <w:color w:val="auto"/>
                <w:szCs w:val="21"/>
                <w:highlight w:val="none"/>
              </w:rPr>
            </w:pPr>
          </w:p>
        </w:tc>
        <w:tc>
          <w:tcPr>
            <w:tcW w:w="1424" w:type="dxa"/>
            <w:vAlign w:val="center"/>
          </w:tcPr>
          <w:p w14:paraId="7E0DE010">
            <w:pPr>
              <w:jc w:val="center"/>
              <w:rPr>
                <w:rFonts w:ascii="仿宋" w:hAnsi="仿宋" w:eastAsia="仿宋" w:cs="仿宋"/>
                <w:color w:val="auto"/>
                <w:szCs w:val="21"/>
                <w:highlight w:val="none"/>
              </w:rPr>
            </w:pPr>
          </w:p>
        </w:tc>
        <w:tc>
          <w:tcPr>
            <w:tcW w:w="638" w:type="dxa"/>
            <w:vAlign w:val="center"/>
          </w:tcPr>
          <w:p w14:paraId="49BF5465">
            <w:pPr>
              <w:jc w:val="center"/>
              <w:rPr>
                <w:rFonts w:ascii="仿宋" w:hAnsi="仿宋" w:eastAsia="仿宋" w:cs="仿宋"/>
                <w:color w:val="auto"/>
                <w:szCs w:val="21"/>
                <w:highlight w:val="none"/>
              </w:rPr>
            </w:pPr>
          </w:p>
        </w:tc>
        <w:tc>
          <w:tcPr>
            <w:tcW w:w="638" w:type="dxa"/>
            <w:vAlign w:val="center"/>
          </w:tcPr>
          <w:p w14:paraId="65476475">
            <w:pPr>
              <w:jc w:val="center"/>
              <w:rPr>
                <w:rFonts w:ascii="仿宋" w:hAnsi="仿宋" w:eastAsia="仿宋" w:cs="仿宋"/>
                <w:color w:val="auto"/>
                <w:szCs w:val="21"/>
                <w:highlight w:val="none"/>
              </w:rPr>
            </w:pPr>
          </w:p>
        </w:tc>
        <w:tc>
          <w:tcPr>
            <w:tcW w:w="638" w:type="dxa"/>
            <w:vAlign w:val="center"/>
          </w:tcPr>
          <w:p w14:paraId="517D3871">
            <w:pPr>
              <w:jc w:val="center"/>
              <w:rPr>
                <w:rFonts w:ascii="仿宋" w:hAnsi="仿宋" w:eastAsia="仿宋" w:cs="仿宋"/>
                <w:color w:val="auto"/>
                <w:szCs w:val="21"/>
                <w:highlight w:val="none"/>
              </w:rPr>
            </w:pPr>
          </w:p>
        </w:tc>
        <w:tc>
          <w:tcPr>
            <w:tcW w:w="1060" w:type="dxa"/>
            <w:vAlign w:val="center"/>
          </w:tcPr>
          <w:p w14:paraId="6697EF65">
            <w:pPr>
              <w:jc w:val="center"/>
              <w:rPr>
                <w:rFonts w:ascii="仿宋" w:hAnsi="仿宋" w:eastAsia="仿宋" w:cs="仿宋"/>
                <w:color w:val="auto"/>
                <w:szCs w:val="21"/>
                <w:highlight w:val="none"/>
              </w:rPr>
            </w:pPr>
          </w:p>
        </w:tc>
        <w:tc>
          <w:tcPr>
            <w:tcW w:w="3468" w:type="dxa"/>
            <w:vAlign w:val="center"/>
          </w:tcPr>
          <w:p w14:paraId="1E4E3E12">
            <w:pPr>
              <w:jc w:val="center"/>
              <w:rPr>
                <w:rFonts w:ascii="仿宋" w:hAnsi="仿宋" w:eastAsia="仿宋" w:cs="仿宋"/>
                <w:color w:val="auto"/>
                <w:szCs w:val="21"/>
                <w:highlight w:val="none"/>
              </w:rPr>
            </w:pPr>
          </w:p>
        </w:tc>
        <w:tc>
          <w:tcPr>
            <w:tcW w:w="1187" w:type="dxa"/>
            <w:vAlign w:val="center"/>
          </w:tcPr>
          <w:p w14:paraId="6F745C61">
            <w:pPr>
              <w:jc w:val="center"/>
              <w:rPr>
                <w:rFonts w:ascii="仿宋" w:hAnsi="仿宋" w:eastAsia="仿宋" w:cs="仿宋"/>
                <w:color w:val="auto"/>
                <w:szCs w:val="21"/>
                <w:highlight w:val="none"/>
              </w:rPr>
            </w:pPr>
          </w:p>
        </w:tc>
      </w:tr>
    </w:tbl>
    <w:p w14:paraId="2D13F02B">
      <w:pPr>
        <w:rPr>
          <w:rFonts w:ascii="仿宋" w:hAnsi="仿宋" w:eastAsia="仿宋" w:cs="仿宋"/>
          <w:color w:val="auto"/>
          <w:szCs w:val="21"/>
          <w:highlight w:val="none"/>
        </w:rPr>
      </w:pPr>
    </w:p>
    <w:p w14:paraId="7A90DC9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说明：以上人员提供身份证、学历证、职称证书（若有）、资格证（若有）、类似经验证明材料（若有），项目组成员数量根据服务单位实际情况自行增减。</w:t>
      </w:r>
    </w:p>
    <w:p w14:paraId="08A15116">
      <w:pPr>
        <w:numPr>
          <w:ilvl w:val="0"/>
          <w:numId w:val="0"/>
        </w:numPr>
        <w:spacing w:line="500" w:lineRule="atLeast"/>
        <w:ind w:left="420" w:leftChars="0"/>
        <w:rPr>
          <w:rFonts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4.2</w:t>
      </w:r>
      <w:r>
        <w:rPr>
          <w:rFonts w:hint="eastAsia" w:ascii="仿宋" w:hAnsi="仿宋" w:eastAsia="仿宋" w:cs="仿宋"/>
          <w:b/>
          <w:bCs/>
          <w:color w:val="auto"/>
          <w:sz w:val="24"/>
          <w:highlight w:val="none"/>
        </w:rPr>
        <w:t>服务经验</w:t>
      </w:r>
    </w:p>
    <w:p w14:paraId="30E58B91">
      <w:pPr>
        <w:spacing w:line="360" w:lineRule="auto"/>
        <w:rPr>
          <w:rFonts w:ascii="仿宋" w:hAnsi="仿宋" w:eastAsia="仿宋" w:cs="仿宋"/>
          <w:color w:val="auto"/>
          <w:szCs w:val="21"/>
          <w:highlight w:val="none"/>
        </w:rPr>
      </w:pPr>
    </w:p>
    <w:p w14:paraId="03F2683C">
      <w:pPr>
        <w:pStyle w:val="12"/>
        <w:ind w:left="0" w:leftChars="0" w:right="1470"/>
        <w:jc w:val="center"/>
        <w:rPr>
          <w:rFonts w:ascii="仿宋" w:hAnsi="仿宋" w:eastAsia="仿宋" w:cs="仿宋"/>
          <w:b/>
          <w:color w:val="auto"/>
          <w:kern w:val="0"/>
          <w:sz w:val="22"/>
          <w:szCs w:val="22"/>
          <w:highlight w:val="none"/>
        </w:rPr>
      </w:pPr>
      <w:r>
        <w:rPr>
          <w:rFonts w:hint="eastAsia" w:ascii="仿宋" w:hAnsi="仿宋" w:eastAsia="仿宋" w:cs="仿宋"/>
          <w:b/>
          <w:color w:val="auto"/>
          <w:kern w:val="0"/>
          <w:sz w:val="22"/>
          <w:szCs w:val="22"/>
          <w:highlight w:val="none"/>
        </w:rPr>
        <w:t xml:space="preserve"> 附表2、类似业绩情况表</w:t>
      </w:r>
    </w:p>
    <w:p w14:paraId="21AC4801">
      <w:pPr>
        <w:rPr>
          <w:color w:val="auto"/>
          <w:highlight w:val="none"/>
        </w:rPr>
      </w:pPr>
      <w:r>
        <w:rPr>
          <w:rFonts w:hint="eastAsia" w:ascii="仿宋" w:hAnsi="仿宋" w:eastAsia="仿宋" w:cs="仿宋"/>
          <w:b/>
          <w:color w:val="auto"/>
          <w:szCs w:val="21"/>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07"/>
        <w:gridCol w:w="2107"/>
        <w:gridCol w:w="1254"/>
        <w:gridCol w:w="1685"/>
        <w:gridCol w:w="1049"/>
      </w:tblGrid>
      <w:tr w14:paraId="3227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77" w:type="dxa"/>
            <w:noWrap/>
            <w:vAlign w:val="center"/>
          </w:tcPr>
          <w:p w14:paraId="61FC13FC">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107" w:type="dxa"/>
            <w:noWrap/>
            <w:vAlign w:val="center"/>
          </w:tcPr>
          <w:p w14:paraId="70359480">
            <w:pPr>
              <w:spacing w:line="36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委托单位</w:t>
            </w:r>
          </w:p>
        </w:tc>
        <w:tc>
          <w:tcPr>
            <w:tcW w:w="2107" w:type="dxa"/>
            <w:noWrap/>
            <w:vAlign w:val="center"/>
          </w:tcPr>
          <w:p w14:paraId="44AC9A09">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合同名称</w:t>
            </w:r>
          </w:p>
        </w:tc>
        <w:tc>
          <w:tcPr>
            <w:tcW w:w="1254" w:type="dxa"/>
            <w:noWrap/>
            <w:vAlign w:val="center"/>
          </w:tcPr>
          <w:p w14:paraId="3D48FC60">
            <w:pPr>
              <w:spacing w:line="360" w:lineRule="auto"/>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合同</w:t>
            </w:r>
            <w:r>
              <w:rPr>
                <w:rFonts w:hint="eastAsia" w:ascii="仿宋" w:hAnsi="仿宋" w:eastAsia="仿宋" w:cs="仿宋"/>
                <w:color w:val="auto"/>
                <w:szCs w:val="21"/>
                <w:highlight w:val="none"/>
                <w:lang w:val="en-US" w:eastAsia="zh-CN"/>
              </w:rPr>
              <w:t>金额</w:t>
            </w:r>
          </w:p>
        </w:tc>
        <w:tc>
          <w:tcPr>
            <w:tcW w:w="1685" w:type="dxa"/>
            <w:noWrap/>
            <w:vAlign w:val="center"/>
          </w:tcPr>
          <w:p w14:paraId="1AC50D2B">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服务内容</w:t>
            </w:r>
          </w:p>
        </w:tc>
        <w:tc>
          <w:tcPr>
            <w:tcW w:w="1049" w:type="dxa"/>
            <w:noWrap/>
            <w:vAlign w:val="center"/>
          </w:tcPr>
          <w:p w14:paraId="53F3B561">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备注</w:t>
            </w:r>
          </w:p>
        </w:tc>
      </w:tr>
      <w:tr w14:paraId="7442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ign w:val="center"/>
          </w:tcPr>
          <w:p w14:paraId="2060EDB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2107" w:type="dxa"/>
            <w:noWrap/>
            <w:vAlign w:val="center"/>
          </w:tcPr>
          <w:p w14:paraId="2F499379">
            <w:pPr>
              <w:spacing w:line="360" w:lineRule="auto"/>
              <w:rPr>
                <w:rFonts w:ascii="仿宋" w:hAnsi="仿宋" w:eastAsia="仿宋" w:cs="仿宋"/>
                <w:color w:val="auto"/>
                <w:szCs w:val="21"/>
                <w:highlight w:val="none"/>
              </w:rPr>
            </w:pPr>
          </w:p>
        </w:tc>
        <w:tc>
          <w:tcPr>
            <w:tcW w:w="2107" w:type="dxa"/>
            <w:noWrap/>
            <w:vAlign w:val="center"/>
          </w:tcPr>
          <w:p w14:paraId="0961A784">
            <w:pPr>
              <w:spacing w:line="360" w:lineRule="auto"/>
              <w:rPr>
                <w:rFonts w:ascii="仿宋" w:hAnsi="仿宋" w:eastAsia="仿宋" w:cs="仿宋"/>
                <w:color w:val="auto"/>
                <w:szCs w:val="21"/>
                <w:highlight w:val="none"/>
              </w:rPr>
            </w:pPr>
          </w:p>
        </w:tc>
        <w:tc>
          <w:tcPr>
            <w:tcW w:w="1254" w:type="dxa"/>
            <w:noWrap/>
            <w:vAlign w:val="center"/>
          </w:tcPr>
          <w:p w14:paraId="299AB9AD">
            <w:pPr>
              <w:spacing w:line="360" w:lineRule="auto"/>
              <w:rPr>
                <w:rFonts w:ascii="仿宋" w:hAnsi="仿宋" w:eastAsia="仿宋" w:cs="仿宋"/>
                <w:color w:val="auto"/>
                <w:szCs w:val="21"/>
                <w:highlight w:val="none"/>
              </w:rPr>
            </w:pPr>
          </w:p>
        </w:tc>
        <w:tc>
          <w:tcPr>
            <w:tcW w:w="1685" w:type="dxa"/>
            <w:noWrap/>
            <w:vAlign w:val="center"/>
          </w:tcPr>
          <w:p w14:paraId="2B48D11D">
            <w:pPr>
              <w:spacing w:line="360" w:lineRule="auto"/>
              <w:rPr>
                <w:rFonts w:ascii="仿宋" w:hAnsi="仿宋" w:eastAsia="仿宋" w:cs="仿宋"/>
                <w:color w:val="auto"/>
                <w:szCs w:val="21"/>
                <w:highlight w:val="none"/>
              </w:rPr>
            </w:pPr>
          </w:p>
        </w:tc>
        <w:tc>
          <w:tcPr>
            <w:tcW w:w="1049" w:type="dxa"/>
            <w:noWrap/>
            <w:vAlign w:val="center"/>
          </w:tcPr>
          <w:p w14:paraId="71C5967E">
            <w:pPr>
              <w:spacing w:line="360" w:lineRule="auto"/>
              <w:rPr>
                <w:rFonts w:ascii="仿宋" w:hAnsi="仿宋" w:eastAsia="仿宋" w:cs="仿宋"/>
                <w:color w:val="auto"/>
                <w:szCs w:val="21"/>
                <w:highlight w:val="none"/>
              </w:rPr>
            </w:pPr>
          </w:p>
        </w:tc>
      </w:tr>
      <w:tr w14:paraId="2DD1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ign w:val="center"/>
          </w:tcPr>
          <w:p w14:paraId="0CA04ABE">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2107" w:type="dxa"/>
            <w:noWrap/>
            <w:vAlign w:val="center"/>
          </w:tcPr>
          <w:p w14:paraId="67B096C3">
            <w:pPr>
              <w:spacing w:line="360" w:lineRule="auto"/>
              <w:rPr>
                <w:rFonts w:ascii="仿宋" w:hAnsi="仿宋" w:eastAsia="仿宋" w:cs="仿宋"/>
                <w:color w:val="auto"/>
                <w:szCs w:val="21"/>
                <w:highlight w:val="none"/>
              </w:rPr>
            </w:pPr>
          </w:p>
        </w:tc>
        <w:tc>
          <w:tcPr>
            <w:tcW w:w="2107" w:type="dxa"/>
            <w:noWrap/>
            <w:vAlign w:val="center"/>
          </w:tcPr>
          <w:p w14:paraId="273EDC9F">
            <w:pPr>
              <w:spacing w:line="360" w:lineRule="auto"/>
              <w:rPr>
                <w:rFonts w:ascii="仿宋" w:hAnsi="仿宋" w:eastAsia="仿宋" w:cs="仿宋"/>
                <w:color w:val="auto"/>
                <w:szCs w:val="21"/>
                <w:highlight w:val="none"/>
              </w:rPr>
            </w:pPr>
          </w:p>
        </w:tc>
        <w:tc>
          <w:tcPr>
            <w:tcW w:w="1254" w:type="dxa"/>
            <w:noWrap/>
            <w:vAlign w:val="center"/>
          </w:tcPr>
          <w:p w14:paraId="525DEDD5">
            <w:pPr>
              <w:spacing w:line="360" w:lineRule="auto"/>
              <w:rPr>
                <w:rFonts w:ascii="仿宋" w:hAnsi="仿宋" w:eastAsia="仿宋" w:cs="仿宋"/>
                <w:color w:val="auto"/>
                <w:szCs w:val="21"/>
                <w:highlight w:val="none"/>
              </w:rPr>
            </w:pPr>
          </w:p>
        </w:tc>
        <w:tc>
          <w:tcPr>
            <w:tcW w:w="1685" w:type="dxa"/>
            <w:noWrap/>
            <w:vAlign w:val="center"/>
          </w:tcPr>
          <w:p w14:paraId="6D607304">
            <w:pPr>
              <w:spacing w:line="360" w:lineRule="auto"/>
              <w:rPr>
                <w:rFonts w:ascii="仿宋" w:hAnsi="仿宋" w:eastAsia="仿宋" w:cs="仿宋"/>
                <w:color w:val="auto"/>
                <w:szCs w:val="21"/>
                <w:highlight w:val="none"/>
              </w:rPr>
            </w:pPr>
          </w:p>
        </w:tc>
        <w:tc>
          <w:tcPr>
            <w:tcW w:w="1049" w:type="dxa"/>
            <w:noWrap/>
            <w:vAlign w:val="center"/>
          </w:tcPr>
          <w:p w14:paraId="65D26326">
            <w:pPr>
              <w:spacing w:line="360" w:lineRule="auto"/>
              <w:rPr>
                <w:rFonts w:ascii="仿宋" w:hAnsi="仿宋" w:eastAsia="仿宋" w:cs="仿宋"/>
                <w:color w:val="auto"/>
                <w:szCs w:val="21"/>
                <w:highlight w:val="none"/>
              </w:rPr>
            </w:pPr>
          </w:p>
        </w:tc>
      </w:tr>
      <w:tr w14:paraId="5970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ign w:val="center"/>
          </w:tcPr>
          <w:p w14:paraId="09D8690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3</w:t>
            </w:r>
          </w:p>
        </w:tc>
        <w:tc>
          <w:tcPr>
            <w:tcW w:w="2107" w:type="dxa"/>
            <w:noWrap/>
            <w:vAlign w:val="center"/>
          </w:tcPr>
          <w:p w14:paraId="57FD9D84">
            <w:pPr>
              <w:spacing w:line="360" w:lineRule="auto"/>
              <w:rPr>
                <w:rFonts w:ascii="仿宋" w:hAnsi="仿宋" w:eastAsia="仿宋" w:cs="仿宋"/>
                <w:color w:val="auto"/>
                <w:szCs w:val="21"/>
                <w:highlight w:val="none"/>
              </w:rPr>
            </w:pPr>
          </w:p>
        </w:tc>
        <w:tc>
          <w:tcPr>
            <w:tcW w:w="2107" w:type="dxa"/>
            <w:noWrap/>
            <w:vAlign w:val="center"/>
          </w:tcPr>
          <w:p w14:paraId="03909C6C">
            <w:pPr>
              <w:spacing w:line="360" w:lineRule="auto"/>
              <w:rPr>
                <w:rFonts w:ascii="仿宋" w:hAnsi="仿宋" w:eastAsia="仿宋" w:cs="仿宋"/>
                <w:color w:val="auto"/>
                <w:szCs w:val="21"/>
                <w:highlight w:val="none"/>
              </w:rPr>
            </w:pPr>
          </w:p>
        </w:tc>
        <w:tc>
          <w:tcPr>
            <w:tcW w:w="1254" w:type="dxa"/>
            <w:noWrap/>
            <w:vAlign w:val="center"/>
          </w:tcPr>
          <w:p w14:paraId="632170B8">
            <w:pPr>
              <w:spacing w:line="360" w:lineRule="auto"/>
              <w:rPr>
                <w:rFonts w:ascii="仿宋" w:hAnsi="仿宋" w:eastAsia="仿宋" w:cs="仿宋"/>
                <w:color w:val="auto"/>
                <w:szCs w:val="21"/>
                <w:highlight w:val="none"/>
              </w:rPr>
            </w:pPr>
          </w:p>
        </w:tc>
        <w:tc>
          <w:tcPr>
            <w:tcW w:w="1685" w:type="dxa"/>
            <w:noWrap/>
            <w:vAlign w:val="center"/>
          </w:tcPr>
          <w:p w14:paraId="3BC1C1BA">
            <w:pPr>
              <w:spacing w:line="360" w:lineRule="auto"/>
              <w:rPr>
                <w:rFonts w:ascii="仿宋" w:hAnsi="仿宋" w:eastAsia="仿宋" w:cs="仿宋"/>
                <w:color w:val="auto"/>
                <w:szCs w:val="21"/>
                <w:highlight w:val="none"/>
              </w:rPr>
            </w:pPr>
          </w:p>
        </w:tc>
        <w:tc>
          <w:tcPr>
            <w:tcW w:w="1049" w:type="dxa"/>
            <w:noWrap/>
            <w:vAlign w:val="center"/>
          </w:tcPr>
          <w:p w14:paraId="1BD9696D">
            <w:pPr>
              <w:spacing w:line="360" w:lineRule="auto"/>
              <w:rPr>
                <w:rFonts w:ascii="仿宋" w:hAnsi="仿宋" w:eastAsia="仿宋" w:cs="仿宋"/>
                <w:color w:val="auto"/>
                <w:szCs w:val="21"/>
                <w:highlight w:val="none"/>
              </w:rPr>
            </w:pPr>
          </w:p>
        </w:tc>
      </w:tr>
      <w:tr w14:paraId="3284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ign w:val="center"/>
          </w:tcPr>
          <w:p w14:paraId="2C8759FA">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4</w:t>
            </w:r>
          </w:p>
        </w:tc>
        <w:tc>
          <w:tcPr>
            <w:tcW w:w="2107" w:type="dxa"/>
            <w:noWrap/>
            <w:vAlign w:val="center"/>
          </w:tcPr>
          <w:p w14:paraId="57A8A3CD">
            <w:pPr>
              <w:spacing w:line="360" w:lineRule="auto"/>
              <w:rPr>
                <w:rFonts w:ascii="仿宋" w:hAnsi="仿宋" w:eastAsia="仿宋" w:cs="仿宋"/>
                <w:color w:val="auto"/>
                <w:szCs w:val="21"/>
                <w:highlight w:val="none"/>
              </w:rPr>
            </w:pPr>
          </w:p>
        </w:tc>
        <w:tc>
          <w:tcPr>
            <w:tcW w:w="2107" w:type="dxa"/>
            <w:noWrap/>
            <w:vAlign w:val="center"/>
          </w:tcPr>
          <w:p w14:paraId="69B89DED">
            <w:pPr>
              <w:spacing w:line="360" w:lineRule="auto"/>
              <w:rPr>
                <w:rFonts w:ascii="仿宋" w:hAnsi="仿宋" w:eastAsia="仿宋" w:cs="仿宋"/>
                <w:color w:val="auto"/>
                <w:szCs w:val="21"/>
                <w:highlight w:val="none"/>
              </w:rPr>
            </w:pPr>
          </w:p>
        </w:tc>
        <w:tc>
          <w:tcPr>
            <w:tcW w:w="1254" w:type="dxa"/>
            <w:noWrap/>
            <w:vAlign w:val="center"/>
          </w:tcPr>
          <w:p w14:paraId="2E42002C">
            <w:pPr>
              <w:spacing w:line="360" w:lineRule="auto"/>
              <w:rPr>
                <w:rFonts w:ascii="仿宋" w:hAnsi="仿宋" w:eastAsia="仿宋" w:cs="仿宋"/>
                <w:color w:val="auto"/>
                <w:szCs w:val="21"/>
                <w:highlight w:val="none"/>
              </w:rPr>
            </w:pPr>
          </w:p>
        </w:tc>
        <w:tc>
          <w:tcPr>
            <w:tcW w:w="1685" w:type="dxa"/>
            <w:noWrap/>
            <w:vAlign w:val="center"/>
          </w:tcPr>
          <w:p w14:paraId="697FAEC1">
            <w:pPr>
              <w:spacing w:line="360" w:lineRule="auto"/>
              <w:rPr>
                <w:rFonts w:ascii="仿宋" w:hAnsi="仿宋" w:eastAsia="仿宋" w:cs="仿宋"/>
                <w:color w:val="auto"/>
                <w:szCs w:val="21"/>
                <w:highlight w:val="none"/>
              </w:rPr>
            </w:pPr>
          </w:p>
        </w:tc>
        <w:tc>
          <w:tcPr>
            <w:tcW w:w="1049" w:type="dxa"/>
            <w:noWrap/>
            <w:vAlign w:val="center"/>
          </w:tcPr>
          <w:p w14:paraId="479C6CDD">
            <w:pPr>
              <w:spacing w:line="360" w:lineRule="auto"/>
              <w:rPr>
                <w:rFonts w:ascii="仿宋" w:hAnsi="仿宋" w:eastAsia="仿宋" w:cs="仿宋"/>
                <w:color w:val="auto"/>
                <w:szCs w:val="21"/>
                <w:highlight w:val="none"/>
              </w:rPr>
            </w:pPr>
          </w:p>
        </w:tc>
      </w:tr>
      <w:tr w14:paraId="4041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ign w:val="center"/>
          </w:tcPr>
          <w:p w14:paraId="0D7B9238">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5</w:t>
            </w:r>
          </w:p>
        </w:tc>
        <w:tc>
          <w:tcPr>
            <w:tcW w:w="2107" w:type="dxa"/>
            <w:noWrap/>
            <w:vAlign w:val="center"/>
          </w:tcPr>
          <w:p w14:paraId="78F02ED3">
            <w:pPr>
              <w:spacing w:line="360" w:lineRule="auto"/>
              <w:rPr>
                <w:rFonts w:ascii="仿宋" w:hAnsi="仿宋" w:eastAsia="仿宋" w:cs="仿宋"/>
                <w:color w:val="auto"/>
                <w:szCs w:val="21"/>
                <w:highlight w:val="none"/>
              </w:rPr>
            </w:pPr>
          </w:p>
        </w:tc>
        <w:tc>
          <w:tcPr>
            <w:tcW w:w="2107" w:type="dxa"/>
            <w:noWrap/>
            <w:vAlign w:val="center"/>
          </w:tcPr>
          <w:p w14:paraId="25C0986E">
            <w:pPr>
              <w:spacing w:line="360" w:lineRule="auto"/>
              <w:rPr>
                <w:rFonts w:ascii="仿宋" w:hAnsi="仿宋" w:eastAsia="仿宋" w:cs="仿宋"/>
                <w:color w:val="auto"/>
                <w:szCs w:val="21"/>
                <w:highlight w:val="none"/>
              </w:rPr>
            </w:pPr>
          </w:p>
        </w:tc>
        <w:tc>
          <w:tcPr>
            <w:tcW w:w="1254" w:type="dxa"/>
            <w:noWrap/>
            <w:vAlign w:val="center"/>
          </w:tcPr>
          <w:p w14:paraId="0AAE4BA8">
            <w:pPr>
              <w:spacing w:line="360" w:lineRule="auto"/>
              <w:rPr>
                <w:rFonts w:ascii="仿宋" w:hAnsi="仿宋" w:eastAsia="仿宋" w:cs="仿宋"/>
                <w:color w:val="auto"/>
                <w:szCs w:val="21"/>
                <w:highlight w:val="none"/>
              </w:rPr>
            </w:pPr>
          </w:p>
        </w:tc>
        <w:tc>
          <w:tcPr>
            <w:tcW w:w="1685" w:type="dxa"/>
            <w:noWrap/>
            <w:vAlign w:val="center"/>
          </w:tcPr>
          <w:p w14:paraId="57435E71">
            <w:pPr>
              <w:spacing w:line="360" w:lineRule="auto"/>
              <w:rPr>
                <w:rFonts w:ascii="仿宋" w:hAnsi="仿宋" w:eastAsia="仿宋" w:cs="仿宋"/>
                <w:color w:val="auto"/>
                <w:szCs w:val="21"/>
                <w:highlight w:val="none"/>
              </w:rPr>
            </w:pPr>
          </w:p>
        </w:tc>
        <w:tc>
          <w:tcPr>
            <w:tcW w:w="1049" w:type="dxa"/>
            <w:noWrap/>
            <w:vAlign w:val="center"/>
          </w:tcPr>
          <w:p w14:paraId="2DE2057D">
            <w:pPr>
              <w:spacing w:line="360" w:lineRule="auto"/>
              <w:rPr>
                <w:rFonts w:ascii="仿宋" w:hAnsi="仿宋" w:eastAsia="仿宋" w:cs="仿宋"/>
                <w:color w:val="auto"/>
                <w:szCs w:val="21"/>
                <w:highlight w:val="none"/>
              </w:rPr>
            </w:pPr>
          </w:p>
        </w:tc>
      </w:tr>
      <w:tr w14:paraId="6598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noWrap/>
            <w:vAlign w:val="center"/>
          </w:tcPr>
          <w:p w14:paraId="2B4238F0">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w:t>
            </w:r>
          </w:p>
        </w:tc>
        <w:tc>
          <w:tcPr>
            <w:tcW w:w="2107" w:type="dxa"/>
            <w:noWrap/>
            <w:vAlign w:val="center"/>
          </w:tcPr>
          <w:p w14:paraId="674F0699">
            <w:pPr>
              <w:spacing w:line="360" w:lineRule="auto"/>
              <w:rPr>
                <w:rFonts w:ascii="仿宋" w:hAnsi="仿宋" w:eastAsia="仿宋" w:cs="仿宋"/>
                <w:color w:val="auto"/>
                <w:szCs w:val="21"/>
                <w:highlight w:val="none"/>
              </w:rPr>
            </w:pPr>
          </w:p>
        </w:tc>
        <w:tc>
          <w:tcPr>
            <w:tcW w:w="2107" w:type="dxa"/>
            <w:noWrap/>
            <w:vAlign w:val="center"/>
          </w:tcPr>
          <w:p w14:paraId="19B85036">
            <w:pPr>
              <w:spacing w:line="360" w:lineRule="auto"/>
              <w:rPr>
                <w:rFonts w:ascii="仿宋" w:hAnsi="仿宋" w:eastAsia="仿宋" w:cs="仿宋"/>
                <w:color w:val="auto"/>
                <w:szCs w:val="21"/>
                <w:highlight w:val="none"/>
              </w:rPr>
            </w:pPr>
          </w:p>
        </w:tc>
        <w:tc>
          <w:tcPr>
            <w:tcW w:w="1254" w:type="dxa"/>
            <w:noWrap/>
            <w:vAlign w:val="center"/>
          </w:tcPr>
          <w:p w14:paraId="22336035">
            <w:pPr>
              <w:spacing w:line="360" w:lineRule="auto"/>
              <w:rPr>
                <w:rFonts w:ascii="仿宋" w:hAnsi="仿宋" w:eastAsia="仿宋" w:cs="仿宋"/>
                <w:color w:val="auto"/>
                <w:szCs w:val="21"/>
                <w:highlight w:val="none"/>
              </w:rPr>
            </w:pPr>
          </w:p>
        </w:tc>
        <w:tc>
          <w:tcPr>
            <w:tcW w:w="1685" w:type="dxa"/>
            <w:noWrap/>
            <w:vAlign w:val="center"/>
          </w:tcPr>
          <w:p w14:paraId="7B073F3C">
            <w:pPr>
              <w:spacing w:line="360" w:lineRule="auto"/>
              <w:rPr>
                <w:rFonts w:ascii="仿宋" w:hAnsi="仿宋" w:eastAsia="仿宋" w:cs="仿宋"/>
                <w:color w:val="auto"/>
                <w:szCs w:val="21"/>
                <w:highlight w:val="none"/>
              </w:rPr>
            </w:pPr>
          </w:p>
        </w:tc>
        <w:tc>
          <w:tcPr>
            <w:tcW w:w="1049" w:type="dxa"/>
            <w:noWrap/>
            <w:vAlign w:val="center"/>
          </w:tcPr>
          <w:p w14:paraId="65389302">
            <w:pPr>
              <w:spacing w:line="360" w:lineRule="auto"/>
              <w:rPr>
                <w:rFonts w:ascii="仿宋" w:hAnsi="仿宋" w:eastAsia="仿宋" w:cs="仿宋"/>
                <w:color w:val="auto"/>
                <w:szCs w:val="21"/>
                <w:highlight w:val="none"/>
              </w:rPr>
            </w:pPr>
          </w:p>
        </w:tc>
      </w:tr>
    </w:tbl>
    <w:p w14:paraId="0373353F">
      <w:pPr>
        <w:spacing w:line="360" w:lineRule="auto"/>
        <w:rPr>
          <w:rFonts w:ascii="仿宋" w:hAnsi="仿宋" w:eastAsia="仿宋" w:cs="仿宋"/>
          <w:color w:val="auto"/>
          <w:szCs w:val="21"/>
          <w:highlight w:val="none"/>
        </w:rPr>
      </w:pPr>
      <w:r>
        <w:rPr>
          <w:rFonts w:hint="eastAsia" w:ascii="仿宋" w:hAnsi="仿宋" w:eastAsia="仿宋" w:cs="仿宋"/>
          <w:color w:val="auto"/>
          <w:szCs w:val="21"/>
          <w:highlight w:val="none"/>
        </w:rPr>
        <w:t>注：需提供合同或中标通知书等证明材料复印件。</w:t>
      </w:r>
    </w:p>
    <w:p w14:paraId="2DA3E27B">
      <w:pPr>
        <w:spacing w:line="360" w:lineRule="auto"/>
        <w:rPr>
          <w:rFonts w:hint="eastAsia" w:ascii="仿宋" w:hAnsi="仿宋" w:eastAsia="仿宋" w:cs="仿宋"/>
          <w:color w:val="auto"/>
          <w:szCs w:val="21"/>
          <w:highlight w:val="none"/>
        </w:rPr>
      </w:pPr>
    </w:p>
    <w:p w14:paraId="1BFDE073">
      <w:pPr>
        <w:spacing w:line="360" w:lineRule="auto"/>
        <w:rPr>
          <w:rFonts w:hint="eastAsia" w:ascii="仿宋" w:hAnsi="仿宋" w:eastAsia="仿宋" w:cs="仿宋"/>
          <w:color w:val="auto"/>
          <w:szCs w:val="21"/>
          <w:highlight w:val="none"/>
        </w:rPr>
      </w:pPr>
    </w:p>
    <w:p w14:paraId="586C37A5">
      <w:pPr>
        <w:spacing w:line="360" w:lineRule="auto"/>
        <w:rPr>
          <w:rFonts w:hint="eastAsia" w:ascii="仿宋" w:hAnsi="仿宋" w:eastAsia="仿宋" w:cs="仿宋"/>
          <w:color w:val="auto"/>
          <w:szCs w:val="21"/>
          <w:highlight w:val="none"/>
        </w:rPr>
      </w:pPr>
    </w:p>
    <w:p w14:paraId="2EC055A9">
      <w:pPr>
        <w:spacing w:before="286" w:line="220" w:lineRule="auto"/>
        <w:ind w:left="2100" w:leftChars="0" w:firstLine="0" w:firstLineChars="0"/>
        <w:jc w:val="center"/>
        <w:rPr>
          <w:rFonts w:hint="eastAsia" w:ascii="仿宋" w:hAnsi="仿宋" w:eastAsia="仿宋" w:cs="仿宋"/>
          <w:color w:val="auto"/>
          <w:spacing w:val="-1"/>
          <w:sz w:val="28"/>
          <w:szCs w:val="28"/>
          <w:highlight w:val="none"/>
        </w:rPr>
      </w:pPr>
    </w:p>
    <w:p w14:paraId="16EEC6C8">
      <w:pPr>
        <w:pStyle w:val="12"/>
        <w:ind w:left="0" w:leftChars="0" w:right="1470"/>
        <w:jc w:val="center"/>
        <w:rPr>
          <w:rFonts w:hint="eastAsia" w:ascii="仿宋" w:hAnsi="仿宋" w:eastAsia="仿宋" w:cs="仿宋"/>
          <w:b/>
          <w:color w:val="auto"/>
          <w:kern w:val="0"/>
          <w:sz w:val="22"/>
          <w:szCs w:val="22"/>
          <w:highlight w:val="none"/>
        </w:rPr>
      </w:pPr>
    </w:p>
    <w:p w14:paraId="2918FEB6">
      <w:pPr>
        <w:pStyle w:val="2"/>
        <w:spacing w:before="91" w:line="219" w:lineRule="auto"/>
        <w:ind w:left="3483"/>
        <w:rPr>
          <w:rFonts w:hint="eastAsia" w:ascii="仿宋" w:hAnsi="仿宋" w:eastAsia="仿宋" w:cs="仿宋"/>
          <w:b/>
          <w:color w:val="auto"/>
          <w:kern w:val="0"/>
          <w:sz w:val="22"/>
          <w:szCs w:val="22"/>
          <w:highlight w:val="none"/>
          <w:lang w:val="en-US" w:eastAsia="zh-CN" w:bidi="ar-SA"/>
        </w:rPr>
      </w:pPr>
      <w:r>
        <w:rPr>
          <w:rFonts w:hint="eastAsia" w:ascii="仿宋" w:hAnsi="仿宋" w:eastAsia="仿宋" w:cs="仿宋"/>
          <w:b/>
          <w:color w:val="auto"/>
          <w:kern w:val="0"/>
          <w:sz w:val="22"/>
          <w:szCs w:val="22"/>
          <w:highlight w:val="none"/>
          <w:lang w:val="en-US" w:eastAsia="zh-CN" w:bidi="ar-SA"/>
        </w:rPr>
        <w:t>附表3、项目负责人简历表</w:t>
      </w:r>
    </w:p>
    <w:tbl>
      <w:tblPr>
        <w:tblStyle w:val="107"/>
        <w:tblpPr w:leftFromText="180" w:rightFromText="180" w:vertAnchor="text" w:horzAnchor="page" w:tblpX="1479" w:tblpY="96"/>
        <w:tblOverlap w:val="never"/>
        <w:tblW w:w="901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73"/>
        <w:gridCol w:w="548"/>
        <w:gridCol w:w="549"/>
        <w:gridCol w:w="855"/>
        <w:gridCol w:w="783"/>
        <w:gridCol w:w="410"/>
        <w:gridCol w:w="686"/>
        <w:gridCol w:w="682"/>
        <w:gridCol w:w="545"/>
        <w:gridCol w:w="551"/>
        <w:gridCol w:w="599"/>
        <w:gridCol w:w="81"/>
        <w:gridCol w:w="1555"/>
      </w:tblGrid>
      <w:tr w14:paraId="4E5E4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173" w:type="dxa"/>
            <w:vAlign w:val="top"/>
          </w:tcPr>
          <w:p w14:paraId="37583FCB">
            <w:pPr>
              <w:pStyle w:val="109"/>
              <w:spacing w:before="183" w:line="219" w:lineRule="auto"/>
              <w:ind w:left="374"/>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8"/>
                <w:sz w:val="22"/>
                <w:szCs w:val="22"/>
              </w:rPr>
              <w:t>姓名</w:t>
            </w:r>
          </w:p>
        </w:tc>
        <w:tc>
          <w:tcPr>
            <w:tcW w:w="1952" w:type="dxa"/>
            <w:gridSpan w:val="3"/>
            <w:vAlign w:val="top"/>
          </w:tcPr>
          <w:p w14:paraId="50ACA239">
            <w:pPr>
              <w:rPr>
                <w:rFonts w:hint="eastAsia" w:ascii="仿宋" w:hAnsi="仿宋" w:eastAsia="仿宋" w:cs="仿宋"/>
                <w:b w:val="0"/>
                <w:bCs w:val="0"/>
                <w:color w:val="auto"/>
                <w:sz w:val="20"/>
                <w:szCs w:val="22"/>
              </w:rPr>
            </w:pPr>
          </w:p>
        </w:tc>
        <w:tc>
          <w:tcPr>
            <w:tcW w:w="1193" w:type="dxa"/>
            <w:gridSpan w:val="2"/>
            <w:vAlign w:val="top"/>
          </w:tcPr>
          <w:p w14:paraId="74DB7973">
            <w:pPr>
              <w:pStyle w:val="109"/>
              <w:spacing w:before="182" w:line="220" w:lineRule="auto"/>
              <w:ind w:left="387"/>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9"/>
                <w:sz w:val="22"/>
                <w:szCs w:val="22"/>
              </w:rPr>
              <w:t>性别</w:t>
            </w:r>
          </w:p>
        </w:tc>
        <w:tc>
          <w:tcPr>
            <w:tcW w:w="1913" w:type="dxa"/>
            <w:gridSpan w:val="3"/>
            <w:vAlign w:val="top"/>
          </w:tcPr>
          <w:p w14:paraId="7F1AA2E8">
            <w:pPr>
              <w:rPr>
                <w:rFonts w:hint="eastAsia" w:ascii="仿宋" w:hAnsi="仿宋" w:eastAsia="仿宋" w:cs="仿宋"/>
                <w:b w:val="0"/>
                <w:bCs w:val="0"/>
                <w:color w:val="auto"/>
                <w:sz w:val="20"/>
                <w:szCs w:val="22"/>
              </w:rPr>
            </w:pPr>
          </w:p>
        </w:tc>
        <w:tc>
          <w:tcPr>
            <w:tcW w:w="1231" w:type="dxa"/>
            <w:gridSpan w:val="3"/>
            <w:vAlign w:val="top"/>
          </w:tcPr>
          <w:p w14:paraId="2FC58C41">
            <w:pPr>
              <w:pStyle w:val="109"/>
              <w:spacing w:before="183" w:line="219" w:lineRule="auto"/>
              <w:ind w:left="407"/>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8"/>
                <w:sz w:val="22"/>
                <w:szCs w:val="22"/>
              </w:rPr>
              <w:t>年龄</w:t>
            </w:r>
          </w:p>
        </w:tc>
        <w:tc>
          <w:tcPr>
            <w:tcW w:w="1555" w:type="dxa"/>
            <w:vAlign w:val="top"/>
          </w:tcPr>
          <w:p w14:paraId="7EA2BBF1">
            <w:pPr>
              <w:rPr>
                <w:rFonts w:hint="eastAsia" w:ascii="仿宋" w:hAnsi="仿宋" w:eastAsia="仿宋" w:cs="仿宋"/>
                <w:b w:val="0"/>
                <w:bCs w:val="0"/>
                <w:color w:val="auto"/>
                <w:sz w:val="20"/>
                <w:szCs w:val="22"/>
              </w:rPr>
            </w:pPr>
          </w:p>
        </w:tc>
      </w:tr>
      <w:tr w14:paraId="53D85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173" w:type="dxa"/>
            <w:vAlign w:val="top"/>
          </w:tcPr>
          <w:p w14:paraId="0BD787C2">
            <w:pPr>
              <w:pStyle w:val="109"/>
              <w:spacing w:before="187" w:line="221" w:lineRule="auto"/>
              <w:ind w:left="375"/>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8"/>
                <w:sz w:val="22"/>
                <w:szCs w:val="22"/>
              </w:rPr>
              <w:t>职称</w:t>
            </w:r>
          </w:p>
        </w:tc>
        <w:tc>
          <w:tcPr>
            <w:tcW w:w="1952" w:type="dxa"/>
            <w:gridSpan w:val="3"/>
            <w:vAlign w:val="top"/>
          </w:tcPr>
          <w:p w14:paraId="309AB52A">
            <w:pPr>
              <w:rPr>
                <w:rFonts w:hint="eastAsia" w:ascii="仿宋" w:hAnsi="仿宋" w:eastAsia="仿宋" w:cs="仿宋"/>
                <w:b w:val="0"/>
                <w:bCs w:val="0"/>
                <w:color w:val="auto"/>
                <w:sz w:val="20"/>
                <w:szCs w:val="22"/>
              </w:rPr>
            </w:pPr>
          </w:p>
        </w:tc>
        <w:tc>
          <w:tcPr>
            <w:tcW w:w="1193" w:type="dxa"/>
            <w:gridSpan w:val="2"/>
            <w:vAlign w:val="top"/>
          </w:tcPr>
          <w:p w14:paraId="63FF87DD">
            <w:pPr>
              <w:pStyle w:val="109"/>
              <w:spacing w:before="187" w:line="221" w:lineRule="auto"/>
              <w:ind w:left="389"/>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10"/>
                <w:sz w:val="22"/>
                <w:szCs w:val="22"/>
              </w:rPr>
              <w:t>学历</w:t>
            </w:r>
          </w:p>
        </w:tc>
        <w:tc>
          <w:tcPr>
            <w:tcW w:w="1913" w:type="dxa"/>
            <w:gridSpan w:val="3"/>
            <w:vAlign w:val="top"/>
          </w:tcPr>
          <w:p w14:paraId="7ABD5AC5">
            <w:pPr>
              <w:rPr>
                <w:rFonts w:hint="eastAsia" w:ascii="仿宋" w:hAnsi="仿宋" w:eastAsia="仿宋" w:cs="仿宋"/>
                <w:b w:val="0"/>
                <w:bCs w:val="0"/>
                <w:color w:val="auto"/>
                <w:sz w:val="20"/>
                <w:szCs w:val="22"/>
              </w:rPr>
            </w:pPr>
          </w:p>
        </w:tc>
        <w:tc>
          <w:tcPr>
            <w:tcW w:w="1231" w:type="dxa"/>
            <w:gridSpan w:val="3"/>
            <w:vAlign w:val="top"/>
          </w:tcPr>
          <w:p w14:paraId="47072D15">
            <w:pPr>
              <w:pStyle w:val="109"/>
              <w:spacing w:before="187" w:line="219" w:lineRule="auto"/>
              <w:ind w:left="407"/>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8"/>
                <w:sz w:val="22"/>
                <w:szCs w:val="22"/>
              </w:rPr>
              <w:t>职务</w:t>
            </w:r>
          </w:p>
        </w:tc>
        <w:tc>
          <w:tcPr>
            <w:tcW w:w="1555" w:type="dxa"/>
            <w:vAlign w:val="top"/>
          </w:tcPr>
          <w:p w14:paraId="3953729E">
            <w:pPr>
              <w:rPr>
                <w:rFonts w:hint="eastAsia" w:ascii="仿宋" w:hAnsi="仿宋" w:eastAsia="仿宋" w:cs="仿宋"/>
                <w:b w:val="0"/>
                <w:bCs w:val="0"/>
                <w:color w:val="auto"/>
                <w:sz w:val="20"/>
                <w:szCs w:val="22"/>
              </w:rPr>
            </w:pPr>
          </w:p>
        </w:tc>
      </w:tr>
      <w:tr w14:paraId="3DD0F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0" w:hRule="atLeast"/>
        </w:trPr>
        <w:tc>
          <w:tcPr>
            <w:tcW w:w="2270" w:type="dxa"/>
            <w:gridSpan w:val="3"/>
            <w:vAlign w:val="top"/>
          </w:tcPr>
          <w:p w14:paraId="0795D428">
            <w:pPr>
              <w:pStyle w:val="109"/>
              <w:spacing w:before="281" w:line="220" w:lineRule="auto"/>
              <w:ind w:left="464"/>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5"/>
                <w:sz w:val="22"/>
                <w:szCs w:val="22"/>
              </w:rPr>
              <w:t>参加工作时间</w:t>
            </w:r>
          </w:p>
        </w:tc>
        <w:tc>
          <w:tcPr>
            <w:tcW w:w="2734" w:type="dxa"/>
            <w:gridSpan w:val="4"/>
            <w:vAlign w:val="top"/>
          </w:tcPr>
          <w:p w14:paraId="37C563BF">
            <w:pPr>
              <w:rPr>
                <w:rFonts w:hint="eastAsia" w:ascii="仿宋" w:hAnsi="仿宋" w:eastAsia="仿宋" w:cs="仿宋"/>
                <w:b w:val="0"/>
                <w:bCs w:val="0"/>
                <w:color w:val="auto"/>
                <w:sz w:val="20"/>
                <w:szCs w:val="22"/>
              </w:rPr>
            </w:pPr>
          </w:p>
        </w:tc>
        <w:tc>
          <w:tcPr>
            <w:tcW w:w="1778" w:type="dxa"/>
            <w:gridSpan w:val="3"/>
            <w:vAlign w:val="top"/>
          </w:tcPr>
          <w:p w14:paraId="3C2442BC">
            <w:pPr>
              <w:pStyle w:val="109"/>
              <w:spacing w:before="127" w:line="229" w:lineRule="auto"/>
              <w:ind w:left="568" w:right="199" w:hanging="360"/>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5"/>
                <w:sz w:val="22"/>
                <w:szCs w:val="22"/>
              </w:rPr>
              <w:t>担任项目负责</w:t>
            </w:r>
            <w:r>
              <w:rPr>
                <w:rFonts w:hint="eastAsia" w:ascii="仿宋" w:hAnsi="仿宋" w:eastAsia="仿宋" w:cs="仿宋"/>
                <w:b w:val="0"/>
                <w:bCs w:val="0"/>
                <w:color w:val="auto"/>
                <w:spacing w:val="3"/>
                <w:sz w:val="22"/>
                <w:szCs w:val="22"/>
              </w:rPr>
              <w:t xml:space="preserve"> </w:t>
            </w:r>
            <w:r>
              <w:rPr>
                <w:rFonts w:hint="eastAsia" w:ascii="仿宋" w:hAnsi="仿宋" w:eastAsia="仿宋" w:cs="仿宋"/>
                <w:b w:val="0"/>
                <w:bCs w:val="0"/>
                <w:color w:val="auto"/>
                <w:spacing w:val="-7"/>
                <w:sz w:val="22"/>
                <w:szCs w:val="22"/>
              </w:rPr>
              <w:t>人年限</w:t>
            </w:r>
          </w:p>
        </w:tc>
        <w:tc>
          <w:tcPr>
            <w:tcW w:w="2235" w:type="dxa"/>
            <w:gridSpan w:val="3"/>
            <w:vAlign w:val="top"/>
          </w:tcPr>
          <w:p w14:paraId="1BF18C97">
            <w:pPr>
              <w:rPr>
                <w:rFonts w:hint="eastAsia" w:ascii="仿宋" w:hAnsi="仿宋" w:eastAsia="仿宋" w:cs="仿宋"/>
                <w:b w:val="0"/>
                <w:bCs w:val="0"/>
                <w:color w:val="auto"/>
                <w:sz w:val="20"/>
                <w:szCs w:val="22"/>
              </w:rPr>
            </w:pPr>
          </w:p>
        </w:tc>
      </w:tr>
      <w:tr w14:paraId="1AB8F4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2270" w:type="dxa"/>
            <w:gridSpan w:val="3"/>
            <w:vAlign w:val="top"/>
          </w:tcPr>
          <w:p w14:paraId="0FA50DEE">
            <w:pPr>
              <w:pStyle w:val="109"/>
              <w:spacing w:before="226" w:line="219" w:lineRule="auto"/>
              <w:ind w:left="342"/>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4"/>
                <w:sz w:val="22"/>
                <w:szCs w:val="22"/>
              </w:rPr>
              <w:t>证书名称及编号</w:t>
            </w:r>
          </w:p>
        </w:tc>
        <w:tc>
          <w:tcPr>
            <w:tcW w:w="6747" w:type="dxa"/>
            <w:gridSpan w:val="10"/>
            <w:vAlign w:val="top"/>
          </w:tcPr>
          <w:p w14:paraId="2AC34C2D">
            <w:pPr>
              <w:rPr>
                <w:rFonts w:hint="eastAsia" w:ascii="仿宋" w:hAnsi="仿宋" w:eastAsia="仿宋" w:cs="仿宋"/>
                <w:b w:val="0"/>
                <w:bCs w:val="0"/>
                <w:color w:val="auto"/>
                <w:sz w:val="20"/>
                <w:szCs w:val="22"/>
              </w:rPr>
            </w:pPr>
          </w:p>
        </w:tc>
      </w:tr>
      <w:tr w14:paraId="6FBDD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9017" w:type="dxa"/>
            <w:gridSpan w:val="13"/>
            <w:vAlign w:val="top"/>
          </w:tcPr>
          <w:p w14:paraId="73F8C3D3">
            <w:pPr>
              <w:pStyle w:val="109"/>
              <w:spacing w:before="189" w:line="219" w:lineRule="auto"/>
              <w:ind w:left="3117"/>
              <w:rPr>
                <w:rFonts w:hint="eastAsia" w:ascii="仿宋" w:hAnsi="仿宋" w:eastAsia="仿宋" w:cs="仿宋"/>
                <w:b w:val="0"/>
                <w:bCs w:val="0"/>
                <w:color w:val="auto"/>
                <w:sz w:val="22"/>
                <w:szCs w:val="22"/>
              </w:rPr>
            </w:pPr>
            <w:r>
              <w:rPr>
                <w:rFonts w:hint="eastAsia" w:ascii="仿宋" w:hAnsi="仿宋" w:eastAsia="仿宋" w:cs="仿宋"/>
                <w:b w:val="0"/>
                <w:bCs w:val="0"/>
                <w:color w:val="auto"/>
                <w:spacing w:val="-4"/>
                <w:sz w:val="22"/>
                <w:szCs w:val="22"/>
              </w:rPr>
              <w:t>个人类似业绩或项目经验情况</w:t>
            </w:r>
          </w:p>
        </w:tc>
      </w:tr>
      <w:tr w14:paraId="50758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721" w:type="dxa"/>
            <w:gridSpan w:val="2"/>
            <w:vAlign w:val="top"/>
          </w:tcPr>
          <w:p w14:paraId="7B5C5930">
            <w:pPr>
              <w:pStyle w:val="109"/>
              <w:spacing w:before="228" w:line="228" w:lineRule="auto"/>
              <w:ind w:left="266"/>
              <w:rPr>
                <w:rFonts w:hint="eastAsia" w:ascii="仿宋" w:hAnsi="仿宋" w:eastAsia="仿宋" w:cs="仿宋"/>
                <w:b w:val="0"/>
                <w:bCs w:val="0"/>
                <w:color w:val="auto"/>
                <w:sz w:val="18"/>
                <w:szCs w:val="18"/>
              </w:rPr>
            </w:pPr>
            <w:r>
              <w:rPr>
                <w:rFonts w:hint="eastAsia" w:ascii="仿宋" w:hAnsi="仿宋" w:eastAsia="仿宋" w:cs="仿宋"/>
                <w:b w:val="0"/>
                <w:bCs w:val="0"/>
                <w:color w:val="auto"/>
                <w:spacing w:val="6"/>
                <w:sz w:val="18"/>
                <w:szCs w:val="18"/>
              </w:rPr>
              <w:t>委托单位名称</w:t>
            </w:r>
          </w:p>
        </w:tc>
        <w:tc>
          <w:tcPr>
            <w:tcW w:w="2187" w:type="dxa"/>
            <w:gridSpan w:val="3"/>
            <w:vAlign w:val="top"/>
          </w:tcPr>
          <w:p w14:paraId="248847DD">
            <w:pPr>
              <w:pStyle w:val="109"/>
              <w:spacing w:before="228" w:line="228" w:lineRule="auto"/>
              <w:ind w:left="722"/>
              <w:rPr>
                <w:rFonts w:hint="eastAsia" w:ascii="仿宋" w:hAnsi="仿宋" w:eastAsia="仿宋" w:cs="仿宋"/>
                <w:b w:val="0"/>
                <w:bCs w:val="0"/>
                <w:color w:val="auto"/>
                <w:sz w:val="18"/>
                <w:szCs w:val="18"/>
              </w:rPr>
            </w:pPr>
            <w:r>
              <w:rPr>
                <w:rFonts w:hint="eastAsia" w:ascii="仿宋" w:hAnsi="仿宋" w:eastAsia="仿宋" w:cs="仿宋"/>
                <w:b w:val="0"/>
                <w:bCs w:val="0"/>
                <w:color w:val="auto"/>
                <w:spacing w:val="4"/>
                <w:sz w:val="18"/>
                <w:szCs w:val="18"/>
              </w:rPr>
              <w:t>项目名称</w:t>
            </w:r>
          </w:p>
        </w:tc>
        <w:tc>
          <w:tcPr>
            <w:tcW w:w="1778" w:type="dxa"/>
            <w:gridSpan w:val="3"/>
            <w:vAlign w:val="top"/>
          </w:tcPr>
          <w:p w14:paraId="3DA5B226">
            <w:pPr>
              <w:pStyle w:val="109"/>
              <w:spacing w:before="227" w:line="228" w:lineRule="auto"/>
              <w:ind w:left="507"/>
              <w:rPr>
                <w:rFonts w:hint="eastAsia" w:ascii="仿宋" w:hAnsi="仿宋" w:eastAsia="仿宋" w:cs="仿宋"/>
                <w:b w:val="0"/>
                <w:bCs w:val="0"/>
                <w:color w:val="auto"/>
                <w:sz w:val="18"/>
                <w:szCs w:val="18"/>
              </w:rPr>
            </w:pPr>
            <w:r>
              <w:rPr>
                <w:rFonts w:hint="eastAsia" w:ascii="仿宋" w:hAnsi="仿宋" w:eastAsia="仿宋" w:cs="仿宋"/>
                <w:b w:val="0"/>
                <w:bCs w:val="0"/>
                <w:color w:val="auto"/>
                <w:spacing w:val="5"/>
                <w:sz w:val="18"/>
                <w:szCs w:val="18"/>
              </w:rPr>
              <w:t>服务范围</w:t>
            </w:r>
          </w:p>
        </w:tc>
        <w:tc>
          <w:tcPr>
            <w:tcW w:w="1695" w:type="dxa"/>
            <w:gridSpan w:val="3"/>
            <w:vAlign w:val="top"/>
          </w:tcPr>
          <w:p w14:paraId="01582B24">
            <w:pPr>
              <w:pStyle w:val="109"/>
              <w:spacing w:before="227" w:line="228" w:lineRule="auto"/>
              <w:ind w:left="203"/>
              <w:rPr>
                <w:rFonts w:hint="eastAsia" w:ascii="仿宋" w:hAnsi="仿宋" w:eastAsia="仿宋" w:cs="仿宋"/>
                <w:b w:val="0"/>
                <w:bCs w:val="0"/>
                <w:color w:val="auto"/>
                <w:sz w:val="18"/>
                <w:szCs w:val="18"/>
              </w:rPr>
            </w:pPr>
            <w:r>
              <w:rPr>
                <w:rFonts w:hint="eastAsia" w:ascii="仿宋" w:hAnsi="仿宋" w:eastAsia="仿宋" w:cs="仿宋"/>
                <w:b w:val="0"/>
                <w:bCs w:val="0"/>
                <w:color w:val="auto"/>
                <w:spacing w:val="5"/>
                <w:sz w:val="18"/>
                <w:szCs w:val="18"/>
              </w:rPr>
              <w:t>规模/合同金额</w:t>
            </w:r>
          </w:p>
        </w:tc>
        <w:tc>
          <w:tcPr>
            <w:tcW w:w="1636" w:type="dxa"/>
            <w:gridSpan w:val="2"/>
            <w:vAlign w:val="top"/>
          </w:tcPr>
          <w:p w14:paraId="1293CA8C">
            <w:pPr>
              <w:pStyle w:val="109"/>
              <w:spacing w:before="227" w:line="228" w:lineRule="auto"/>
              <w:ind w:left="223"/>
              <w:rPr>
                <w:rFonts w:hint="eastAsia" w:ascii="仿宋" w:hAnsi="仿宋" w:eastAsia="仿宋" w:cs="仿宋"/>
                <w:b w:val="0"/>
                <w:bCs w:val="0"/>
                <w:color w:val="auto"/>
                <w:sz w:val="18"/>
                <w:szCs w:val="18"/>
              </w:rPr>
            </w:pPr>
            <w:r>
              <w:rPr>
                <w:rFonts w:hint="eastAsia" w:ascii="仿宋" w:hAnsi="仿宋" w:eastAsia="仿宋" w:cs="仿宋"/>
                <w:b w:val="0"/>
                <w:bCs w:val="0"/>
                <w:color w:val="auto"/>
                <w:spacing w:val="6"/>
                <w:sz w:val="18"/>
                <w:szCs w:val="18"/>
              </w:rPr>
              <w:t>服务起止时间</w:t>
            </w:r>
          </w:p>
        </w:tc>
      </w:tr>
      <w:tr w14:paraId="6C61E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721" w:type="dxa"/>
            <w:gridSpan w:val="2"/>
            <w:vAlign w:val="top"/>
          </w:tcPr>
          <w:p w14:paraId="4E1888BE">
            <w:pPr>
              <w:rPr>
                <w:rFonts w:hint="eastAsia" w:ascii="仿宋" w:hAnsi="仿宋" w:eastAsia="仿宋" w:cs="仿宋"/>
                <w:b w:val="0"/>
                <w:bCs w:val="0"/>
                <w:color w:val="auto"/>
                <w:sz w:val="20"/>
                <w:szCs w:val="22"/>
              </w:rPr>
            </w:pPr>
          </w:p>
        </w:tc>
        <w:tc>
          <w:tcPr>
            <w:tcW w:w="2187" w:type="dxa"/>
            <w:gridSpan w:val="3"/>
            <w:vAlign w:val="top"/>
          </w:tcPr>
          <w:p w14:paraId="25850D6E">
            <w:pPr>
              <w:rPr>
                <w:rFonts w:hint="eastAsia" w:ascii="仿宋" w:hAnsi="仿宋" w:eastAsia="仿宋" w:cs="仿宋"/>
                <w:b w:val="0"/>
                <w:bCs w:val="0"/>
                <w:color w:val="auto"/>
                <w:sz w:val="20"/>
                <w:szCs w:val="22"/>
              </w:rPr>
            </w:pPr>
          </w:p>
        </w:tc>
        <w:tc>
          <w:tcPr>
            <w:tcW w:w="1778" w:type="dxa"/>
            <w:gridSpan w:val="3"/>
            <w:vAlign w:val="top"/>
          </w:tcPr>
          <w:p w14:paraId="766B55D3">
            <w:pPr>
              <w:rPr>
                <w:rFonts w:hint="eastAsia" w:ascii="仿宋" w:hAnsi="仿宋" w:eastAsia="仿宋" w:cs="仿宋"/>
                <w:b w:val="0"/>
                <w:bCs w:val="0"/>
                <w:color w:val="auto"/>
                <w:sz w:val="20"/>
                <w:szCs w:val="22"/>
              </w:rPr>
            </w:pPr>
          </w:p>
        </w:tc>
        <w:tc>
          <w:tcPr>
            <w:tcW w:w="1695" w:type="dxa"/>
            <w:gridSpan w:val="3"/>
            <w:vAlign w:val="top"/>
          </w:tcPr>
          <w:p w14:paraId="544B0877">
            <w:pPr>
              <w:rPr>
                <w:rFonts w:hint="eastAsia" w:ascii="仿宋" w:hAnsi="仿宋" w:eastAsia="仿宋" w:cs="仿宋"/>
                <w:b w:val="0"/>
                <w:bCs w:val="0"/>
                <w:color w:val="auto"/>
                <w:sz w:val="20"/>
                <w:szCs w:val="22"/>
              </w:rPr>
            </w:pPr>
          </w:p>
        </w:tc>
        <w:tc>
          <w:tcPr>
            <w:tcW w:w="1636" w:type="dxa"/>
            <w:gridSpan w:val="2"/>
            <w:vAlign w:val="top"/>
          </w:tcPr>
          <w:p w14:paraId="2CAC3047">
            <w:pPr>
              <w:rPr>
                <w:rFonts w:hint="eastAsia" w:ascii="仿宋" w:hAnsi="仿宋" w:eastAsia="仿宋" w:cs="仿宋"/>
                <w:b w:val="0"/>
                <w:bCs w:val="0"/>
                <w:color w:val="auto"/>
                <w:sz w:val="20"/>
                <w:szCs w:val="22"/>
              </w:rPr>
            </w:pPr>
          </w:p>
        </w:tc>
      </w:tr>
      <w:tr w14:paraId="63742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721" w:type="dxa"/>
            <w:gridSpan w:val="2"/>
            <w:vAlign w:val="top"/>
          </w:tcPr>
          <w:p w14:paraId="77549DB2">
            <w:pPr>
              <w:rPr>
                <w:rFonts w:hint="eastAsia" w:ascii="仿宋" w:hAnsi="仿宋" w:eastAsia="仿宋" w:cs="仿宋"/>
                <w:b w:val="0"/>
                <w:bCs w:val="0"/>
                <w:color w:val="auto"/>
                <w:sz w:val="20"/>
                <w:szCs w:val="22"/>
              </w:rPr>
            </w:pPr>
          </w:p>
        </w:tc>
        <w:tc>
          <w:tcPr>
            <w:tcW w:w="2187" w:type="dxa"/>
            <w:gridSpan w:val="3"/>
            <w:vAlign w:val="top"/>
          </w:tcPr>
          <w:p w14:paraId="7A09E231">
            <w:pPr>
              <w:rPr>
                <w:rFonts w:hint="eastAsia" w:ascii="仿宋" w:hAnsi="仿宋" w:eastAsia="仿宋" w:cs="仿宋"/>
                <w:b w:val="0"/>
                <w:bCs w:val="0"/>
                <w:color w:val="auto"/>
                <w:sz w:val="20"/>
                <w:szCs w:val="22"/>
              </w:rPr>
            </w:pPr>
          </w:p>
        </w:tc>
        <w:tc>
          <w:tcPr>
            <w:tcW w:w="1778" w:type="dxa"/>
            <w:gridSpan w:val="3"/>
            <w:vAlign w:val="top"/>
          </w:tcPr>
          <w:p w14:paraId="193AE49A">
            <w:pPr>
              <w:rPr>
                <w:rFonts w:hint="eastAsia" w:ascii="仿宋" w:hAnsi="仿宋" w:eastAsia="仿宋" w:cs="仿宋"/>
                <w:b w:val="0"/>
                <w:bCs w:val="0"/>
                <w:color w:val="auto"/>
                <w:sz w:val="20"/>
                <w:szCs w:val="22"/>
              </w:rPr>
            </w:pPr>
          </w:p>
        </w:tc>
        <w:tc>
          <w:tcPr>
            <w:tcW w:w="1695" w:type="dxa"/>
            <w:gridSpan w:val="3"/>
            <w:vAlign w:val="top"/>
          </w:tcPr>
          <w:p w14:paraId="5F91AAE3">
            <w:pPr>
              <w:rPr>
                <w:rFonts w:hint="eastAsia" w:ascii="仿宋" w:hAnsi="仿宋" w:eastAsia="仿宋" w:cs="仿宋"/>
                <w:b w:val="0"/>
                <w:bCs w:val="0"/>
                <w:color w:val="auto"/>
                <w:sz w:val="20"/>
                <w:szCs w:val="22"/>
              </w:rPr>
            </w:pPr>
          </w:p>
        </w:tc>
        <w:tc>
          <w:tcPr>
            <w:tcW w:w="1636" w:type="dxa"/>
            <w:gridSpan w:val="2"/>
            <w:vAlign w:val="top"/>
          </w:tcPr>
          <w:p w14:paraId="1D97A710">
            <w:pPr>
              <w:rPr>
                <w:rFonts w:hint="eastAsia" w:ascii="仿宋" w:hAnsi="仿宋" w:eastAsia="仿宋" w:cs="仿宋"/>
                <w:b w:val="0"/>
                <w:bCs w:val="0"/>
                <w:color w:val="auto"/>
                <w:sz w:val="20"/>
                <w:szCs w:val="22"/>
              </w:rPr>
            </w:pPr>
          </w:p>
        </w:tc>
      </w:tr>
      <w:tr w14:paraId="6C267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721" w:type="dxa"/>
            <w:gridSpan w:val="2"/>
            <w:vAlign w:val="top"/>
          </w:tcPr>
          <w:p w14:paraId="2B269646">
            <w:pPr>
              <w:rPr>
                <w:rFonts w:hint="eastAsia" w:ascii="仿宋" w:hAnsi="仿宋" w:eastAsia="仿宋" w:cs="仿宋"/>
                <w:b w:val="0"/>
                <w:bCs w:val="0"/>
                <w:color w:val="auto"/>
                <w:sz w:val="20"/>
                <w:szCs w:val="22"/>
              </w:rPr>
            </w:pPr>
          </w:p>
        </w:tc>
        <w:tc>
          <w:tcPr>
            <w:tcW w:w="2187" w:type="dxa"/>
            <w:gridSpan w:val="3"/>
            <w:vAlign w:val="top"/>
          </w:tcPr>
          <w:p w14:paraId="6AE2FD20">
            <w:pPr>
              <w:rPr>
                <w:rFonts w:hint="eastAsia" w:ascii="仿宋" w:hAnsi="仿宋" w:eastAsia="仿宋" w:cs="仿宋"/>
                <w:b w:val="0"/>
                <w:bCs w:val="0"/>
                <w:color w:val="auto"/>
                <w:sz w:val="20"/>
                <w:szCs w:val="22"/>
              </w:rPr>
            </w:pPr>
          </w:p>
        </w:tc>
        <w:tc>
          <w:tcPr>
            <w:tcW w:w="1778" w:type="dxa"/>
            <w:gridSpan w:val="3"/>
            <w:vAlign w:val="top"/>
          </w:tcPr>
          <w:p w14:paraId="21989452">
            <w:pPr>
              <w:rPr>
                <w:rFonts w:hint="eastAsia" w:ascii="仿宋" w:hAnsi="仿宋" w:eastAsia="仿宋" w:cs="仿宋"/>
                <w:b w:val="0"/>
                <w:bCs w:val="0"/>
                <w:color w:val="auto"/>
                <w:sz w:val="20"/>
                <w:szCs w:val="22"/>
              </w:rPr>
            </w:pPr>
          </w:p>
        </w:tc>
        <w:tc>
          <w:tcPr>
            <w:tcW w:w="1695" w:type="dxa"/>
            <w:gridSpan w:val="3"/>
            <w:vAlign w:val="top"/>
          </w:tcPr>
          <w:p w14:paraId="3160DEC9">
            <w:pPr>
              <w:rPr>
                <w:rFonts w:hint="eastAsia" w:ascii="仿宋" w:hAnsi="仿宋" w:eastAsia="仿宋" w:cs="仿宋"/>
                <w:b w:val="0"/>
                <w:bCs w:val="0"/>
                <w:color w:val="auto"/>
                <w:sz w:val="20"/>
                <w:szCs w:val="22"/>
              </w:rPr>
            </w:pPr>
          </w:p>
        </w:tc>
        <w:tc>
          <w:tcPr>
            <w:tcW w:w="1636" w:type="dxa"/>
            <w:gridSpan w:val="2"/>
            <w:vAlign w:val="top"/>
          </w:tcPr>
          <w:p w14:paraId="315A4F33">
            <w:pPr>
              <w:rPr>
                <w:rFonts w:hint="eastAsia" w:ascii="仿宋" w:hAnsi="仿宋" w:eastAsia="仿宋" w:cs="仿宋"/>
                <w:b w:val="0"/>
                <w:bCs w:val="0"/>
                <w:color w:val="auto"/>
                <w:sz w:val="20"/>
                <w:szCs w:val="22"/>
              </w:rPr>
            </w:pPr>
          </w:p>
        </w:tc>
      </w:tr>
      <w:tr w14:paraId="3ED1C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721" w:type="dxa"/>
            <w:gridSpan w:val="2"/>
            <w:vAlign w:val="top"/>
          </w:tcPr>
          <w:p w14:paraId="11425ED9">
            <w:pPr>
              <w:rPr>
                <w:rFonts w:hint="eastAsia" w:ascii="仿宋" w:hAnsi="仿宋" w:eastAsia="仿宋" w:cs="仿宋"/>
                <w:b w:val="0"/>
                <w:bCs w:val="0"/>
                <w:color w:val="auto"/>
                <w:sz w:val="20"/>
                <w:szCs w:val="22"/>
              </w:rPr>
            </w:pPr>
          </w:p>
        </w:tc>
        <w:tc>
          <w:tcPr>
            <w:tcW w:w="2187" w:type="dxa"/>
            <w:gridSpan w:val="3"/>
            <w:vAlign w:val="top"/>
          </w:tcPr>
          <w:p w14:paraId="79340583">
            <w:pPr>
              <w:rPr>
                <w:rFonts w:hint="eastAsia" w:ascii="仿宋" w:hAnsi="仿宋" w:eastAsia="仿宋" w:cs="仿宋"/>
                <w:b w:val="0"/>
                <w:bCs w:val="0"/>
                <w:color w:val="auto"/>
                <w:sz w:val="20"/>
                <w:szCs w:val="22"/>
              </w:rPr>
            </w:pPr>
          </w:p>
        </w:tc>
        <w:tc>
          <w:tcPr>
            <w:tcW w:w="1778" w:type="dxa"/>
            <w:gridSpan w:val="3"/>
            <w:vAlign w:val="top"/>
          </w:tcPr>
          <w:p w14:paraId="45582C0F">
            <w:pPr>
              <w:rPr>
                <w:rFonts w:hint="eastAsia" w:ascii="仿宋" w:hAnsi="仿宋" w:eastAsia="仿宋" w:cs="仿宋"/>
                <w:b w:val="0"/>
                <w:bCs w:val="0"/>
                <w:color w:val="auto"/>
                <w:sz w:val="20"/>
                <w:szCs w:val="22"/>
              </w:rPr>
            </w:pPr>
          </w:p>
        </w:tc>
        <w:tc>
          <w:tcPr>
            <w:tcW w:w="1695" w:type="dxa"/>
            <w:gridSpan w:val="3"/>
            <w:vAlign w:val="top"/>
          </w:tcPr>
          <w:p w14:paraId="5A615DA8">
            <w:pPr>
              <w:rPr>
                <w:rFonts w:hint="eastAsia" w:ascii="仿宋" w:hAnsi="仿宋" w:eastAsia="仿宋" w:cs="仿宋"/>
                <w:b w:val="0"/>
                <w:bCs w:val="0"/>
                <w:color w:val="auto"/>
                <w:sz w:val="20"/>
                <w:szCs w:val="22"/>
              </w:rPr>
            </w:pPr>
          </w:p>
        </w:tc>
        <w:tc>
          <w:tcPr>
            <w:tcW w:w="1636" w:type="dxa"/>
            <w:gridSpan w:val="2"/>
            <w:vAlign w:val="top"/>
          </w:tcPr>
          <w:p w14:paraId="293CC035">
            <w:pPr>
              <w:rPr>
                <w:rFonts w:hint="eastAsia" w:ascii="仿宋" w:hAnsi="仿宋" w:eastAsia="仿宋" w:cs="仿宋"/>
                <w:b w:val="0"/>
                <w:bCs w:val="0"/>
                <w:color w:val="auto"/>
                <w:sz w:val="20"/>
                <w:szCs w:val="22"/>
              </w:rPr>
            </w:pPr>
          </w:p>
        </w:tc>
      </w:tr>
      <w:tr w14:paraId="4B0FF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1721" w:type="dxa"/>
            <w:gridSpan w:val="2"/>
            <w:vAlign w:val="top"/>
          </w:tcPr>
          <w:p w14:paraId="66E8D6E7">
            <w:pPr>
              <w:rPr>
                <w:rFonts w:hint="eastAsia" w:ascii="仿宋" w:hAnsi="仿宋" w:eastAsia="仿宋" w:cs="仿宋"/>
                <w:b w:val="0"/>
                <w:bCs w:val="0"/>
                <w:color w:val="auto"/>
                <w:sz w:val="20"/>
                <w:szCs w:val="22"/>
              </w:rPr>
            </w:pPr>
          </w:p>
        </w:tc>
        <w:tc>
          <w:tcPr>
            <w:tcW w:w="2187" w:type="dxa"/>
            <w:gridSpan w:val="3"/>
            <w:vAlign w:val="top"/>
          </w:tcPr>
          <w:p w14:paraId="0941382D">
            <w:pPr>
              <w:rPr>
                <w:rFonts w:hint="eastAsia" w:ascii="仿宋" w:hAnsi="仿宋" w:eastAsia="仿宋" w:cs="仿宋"/>
                <w:b w:val="0"/>
                <w:bCs w:val="0"/>
                <w:color w:val="auto"/>
                <w:sz w:val="20"/>
                <w:szCs w:val="22"/>
              </w:rPr>
            </w:pPr>
          </w:p>
        </w:tc>
        <w:tc>
          <w:tcPr>
            <w:tcW w:w="1778" w:type="dxa"/>
            <w:gridSpan w:val="3"/>
            <w:vAlign w:val="top"/>
          </w:tcPr>
          <w:p w14:paraId="653944B1">
            <w:pPr>
              <w:rPr>
                <w:rFonts w:hint="eastAsia" w:ascii="仿宋" w:hAnsi="仿宋" w:eastAsia="仿宋" w:cs="仿宋"/>
                <w:b w:val="0"/>
                <w:bCs w:val="0"/>
                <w:color w:val="auto"/>
                <w:sz w:val="20"/>
                <w:szCs w:val="22"/>
              </w:rPr>
            </w:pPr>
          </w:p>
        </w:tc>
        <w:tc>
          <w:tcPr>
            <w:tcW w:w="1695" w:type="dxa"/>
            <w:gridSpan w:val="3"/>
            <w:vAlign w:val="top"/>
          </w:tcPr>
          <w:p w14:paraId="23171481">
            <w:pPr>
              <w:rPr>
                <w:rFonts w:hint="eastAsia" w:ascii="仿宋" w:hAnsi="仿宋" w:eastAsia="仿宋" w:cs="仿宋"/>
                <w:b w:val="0"/>
                <w:bCs w:val="0"/>
                <w:color w:val="auto"/>
                <w:sz w:val="20"/>
                <w:szCs w:val="22"/>
              </w:rPr>
            </w:pPr>
          </w:p>
        </w:tc>
        <w:tc>
          <w:tcPr>
            <w:tcW w:w="1636" w:type="dxa"/>
            <w:gridSpan w:val="2"/>
            <w:vAlign w:val="top"/>
          </w:tcPr>
          <w:p w14:paraId="70B577DA">
            <w:pPr>
              <w:rPr>
                <w:rFonts w:hint="eastAsia" w:ascii="仿宋" w:hAnsi="仿宋" w:eastAsia="仿宋" w:cs="仿宋"/>
                <w:b w:val="0"/>
                <w:bCs w:val="0"/>
                <w:color w:val="auto"/>
                <w:sz w:val="20"/>
                <w:szCs w:val="22"/>
              </w:rPr>
            </w:pPr>
          </w:p>
        </w:tc>
      </w:tr>
    </w:tbl>
    <w:p w14:paraId="7376B7AF">
      <w:pPr>
        <w:spacing w:line="113" w:lineRule="exact"/>
        <w:rPr>
          <w:color w:val="auto"/>
        </w:rPr>
      </w:pPr>
    </w:p>
    <w:p w14:paraId="7827854D">
      <w:pPr>
        <w:pStyle w:val="109"/>
        <w:spacing w:before="226" w:line="219" w:lineRule="auto"/>
        <w:ind w:left="342"/>
        <w:rPr>
          <w:rFonts w:hint="eastAsia" w:ascii="仿宋" w:hAnsi="仿宋" w:eastAsia="仿宋" w:cs="仿宋"/>
          <w:b w:val="0"/>
          <w:bCs w:val="0"/>
          <w:color w:val="auto"/>
          <w:spacing w:val="-4"/>
          <w:sz w:val="22"/>
          <w:szCs w:val="22"/>
          <w:lang w:val="en-US" w:eastAsia="zh-CN"/>
        </w:rPr>
        <w:sectPr>
          <w:pgSz w:w="11906" w:h="16838"/>
          <w:pgMar w:top="1191" w:right="1191" w:bottom="1304" w:left="130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val="0"/>
          <w:bCs w:val="0"/>
          <w:color w:val="auto"/>
          <w:spacing w:val="-4"/>
          <w:sz w:val="22"/>
          <w:szCs w:val="22"/>
        </w:rPr>
        <w:t>注：附项目负责人身份证、执业证书、职称证书、劳动合同或社保缴费证明、业绩证明材料 （如有）等复印件。</w:t>
      </w:r>
    </w:p>
    <w:p w14:paraId="7B54B6AE">
      <w:pPr>
        <w:pStyle w:val="4"/>
        <w:spacing w:before="0"/>
        <w:ind w:left="425" w:firstLine="0"/>
        <w:rPr>
          <w:rFonts w:ascii="仿宋" w:hAnsi="仿宋" w:eastAsia="仿宋" w:cs="仿宋"/>
          <w:color w:val="auto"/>
          <w:sz w:val="32"/>
          <w:highlight w:val="none"/>
        </w:rPr>
      </w:pPr>
      <w:bookmarkStart w:id="136" w:name="_Toc15665"/>
      <w:bookmarkStart w:id="137" w:name="_Toc11441"/>
      <w:bookmarkStart w:id="138" w:name="_Toc6853"/>
      <w:bookmarkStart w:id="139" w:name="_Toc18666"/>
      <w:r>
        <w:rPr>
          <w:rFonts w:hint="eastAsia" w:ascii="仿宋" w:hAnsi="仿宋" w:eastAsia="仿宋" w:cs="仿宋"/>
          <w:color w:val="auto"/>
          <w:sz w:val="32"/>
          <w:highlight w:val="none"/>
        </w:rPr>
        <w:t>（</w:t>
      </w:r>
      <w:r>
        <w:rPr>
          <w:rFonts w:hint="eastAsia" w:ascii="仿宋" w:hAnsi="仿宋" w:eastAsia="仿宋" w:cs="仿宋"/>
          <w:color w:val="auto"/>
          <w:sz w:val="32"/>
          <w:highlight w:val="none"/>
          <w:lang w:val="en-US" w:eastAsia="zh-CN"/>
        </w:rPr>
        <w:t>七</w:t>
      </w:r>
      <w:r>
        <w:rPr>
          <w:rFonts w:hint="eastAsia" w:ascii="仿宋" w:hAnsi="仿宋" w:eastAsia="仿宋" w:cs="仿宋"/>
          <w:color w:val="auto"/>
          <w:sz w:val="32"/>
          <w:highlight w:val="none"/>
        </w:rPr>
        <w:t>）构成响应文件的其它资料</w:t>
      </w:r>
      <w:bookmarkEnd w:id="136"/>
      <w:bookmarkEnd w:id="137"/>
      <w:bookmarkEnd w:id="138"/>
      <w:bookmarkEnd w:id="139"/>
    </w:p>
    <w:p w14:paraId="4442001C">
      <w:pPr>
        <w:spacing w:line="360" w:lineRule="auto"/>
        <w:ind w:firstLine="420" w:firstLineChars="200"/>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）昆明市区有固定的营业场所，具备开标、评标功能会议室，且每个会议室均配有录音、录像等监控设备（提供不动产权证或房屋所有权证或房屋租赁合同等证明材料，会议室图片及说明，设备固定资产清单）</w:t>
      </w:r>
    </w:p>
    <w:p w14:paraId="7011BA57">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竞争性磋商文件中要求提供的其他资料以及供应商认为有利于获得本项目成交资格的其他材料或说明（格式自拟）。</w:t>
      </w:r>
    </w:p>
    <w:p w14:paraId="613E3A41">
      <w:pP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br w:type="page"/>
      </w:r>
    </w:p>
    <w:p w14:paraId="30E8790F">
      <w:pPr>
        <w:numPr>
          <w:ilvl w:val="0"/>
          <w:numId w:val="9"/>
        </w:numPr>
        <w:jc w:val="center"/>
        <w:outlineLvl w:val="0"/>
        <w:rPr>
          <w:rFonts w:ascii="仿宋" w:hAnsi="仿宋" w:eastAsia="仿宋" w:cs="仿宋"/>
          <w:b/>
          <w:bCs/>
          <w:color w:val="auto"/>
          <w:kern w:val="0"/>
          <w:sz w:val="36"/>
          <w:szCs w:val="22"/>
          <w:highlight w:val="none"/>
        </w:rPr>
      </w:pPr>
      <w:bookmarkStart w:id="140" w:name="_Toc14144"/>
      <w:r>
        <w:rPr>
          <w:rFonts w:hint="eastAsia" w:ascii="仿宋" w:hAnsi="仿宋" w:eastAsia="仿宋" w:cs="仿宋"/>
          <w:b/>
          <w:bCs/>
          <w:color w:val="auto"/>
          <w:kern w:val="0"/>
          <w:sz w:val="36"/>
          <w:szCs w:val="22"/>
          <w:highlight w:val="none"/>
          <w:lang w:val="en-US" w:eastAsia="zh-CN"/>
        </w:rPr>
        <w:t xml:space="preserve"> </w:t>
      </w:r>
      <w:r>
        <w:rPr>
          <w:rFonts w:hint="eastAsia" w:ascii="仿宋" w:hAnsi="仿宋" w:eastAsia="仿宋" w:cs="仿宋"/>
          <w:b/>
          <w:bCs/>
          <w:color w:val="auto"/>
          <w:kern w:val="0"/>
          <w:sz w:val="36"/>
          <w:szCs w:val="22"/>
          <w:highlight w:val="none"/>
        </w:rPr>
        <w:t>采购需求</w:t>
      </w:r>
      <w:bookmarkEnd w:id="140"/>
    </w:p>
    <w:p w14:paraId="48C8D79E">
      <w:pPr>
        <w:keepNext w:val="0"/>
        <w:keepLines w:val="0"/>
        <w:pageBreakBefore w:val="0"/>
        <w:kinsoku/>
        <w:wordWrap/>
        <w:overflowPunct/>
        <w:topLinePunct w:val="0"/>
        <w:autoSpaceDE/>
        <w:autoSpaceDN/>
        <w:bidi w:val="0"/>
        <w:adjustRightInd/>
        <w:snapToGrid/>
        <w:spacing w:beforeAutospacing="0" w:afterAutospacing="0" w:line="360" w:lineRule="auto"/>
        <w:ind w:firstLine="482" w:firstLineChars="200"/>
        <w:rPr>
          <w:rFonts w:hint="eastAsia" w:ascii="仿宋" w:hAnsi="仿宋" w:eastAsia="仿宋" w:cs="仿宋"/>
          <w:b/>
          <w:bCs/>
          <w:color w:val="auto"/>
          <w:sz w:val="24"/>
          <w:szCs w:val="24"/>
          <w:highlight w:val="none"/>
        </w:rPr>
      </w:pPr>
    </w:p>
    <w:p w14:paraId="5F33D59A">
      <w:pPr>
        <w:pStyle w:val="25"/>
        <w:numPr>
          <w:ilvl w:val="0"/>
          <w:numId w:val="10"/>
        </w:numPr>
        <w:rPr>
          <w:rFonts w:hint="default"/>
          <w:b/>
          <w:bCs/>
          <w:color w:val="auto"/>
          <w:lang w:val="en-US" w:eastAsia="zh-CN"/>
        </w:rPr>
      </w:pPr>
      <w:r>
        <w:rPr>
          <w:rFonts w:hint="eastAsia" w:ascii="仿宋" w:hAnsi="仿宋" w:eastAsia="仿宋" w:cs="仿宋"/>
          <w:b/>
          <w:bCs/>
          <w:color w:val="auto"/>
          <w:sz w:val="24"/>
          <w:szCs w:val="24"/>
          <w:highlight w:val="none"/>
          <w:lang w:val="en-US" w:eastAsia="zh-CN"/>
        </w:rPr>
        <w:t>服务要求</w:t>
      </w:r>
    </w:p>
    <w:p w14:paraId="2D29AC62">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（一）依法按照公开、公平、公正和诚实信用原则，组织招标工作，维护各方的合法权益；</w:t>
      </w:r>
    </w:p>
    <w:p w14:paraId="5568B28D">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（二）向采购人提供与招标工作相关的咨询、代书等服务；并从专业性、逻辑性、文字表述等方面确保招标文件质量；</w:t>
      </w:r>
    </w:p>
    <w:p w14:paraId="1C44BA79">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三）编制招标文件并提交采购人确认，发布招标公告、发送投标邀请函、受理投标报名申请，组织招标方案论证、资格审查，组织招标答疑、现场踏勘和标前会（如需要），从依法组建的专家库内抽取评标专家，按规定的时间接收投标文件，组织开标、评标会议，发送中标通知书等与招标有关的工作；</w:t>
      </w:r>
    </w:p>
    <w:p w14:paraId="1D175823">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（四）负责开标、评标期间与会人员的日常生活安排及各项有关费用，按规定向评标专家支付劳务费；</w:t>
      </w:r>
    </w:p>
    <w:p w14:paraId="3A955E0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（五）随时向采购人汇报招标工作进展情况，评标结束后及时向采购人提交招标情况的书面报告；</w:t>
      </w:r>
    </w:p>
    <w:p w14:paraId="1A69FE5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六）负责完成采购人委派的公开招标、邀请招标、竞争性谈判、竞争性磋商、单一来源采购、询价采购等相关法律规定的政府采购工作，工作内容包括但不限于：咨询、文件编制、组织会议等；及时向采购人提交相关过程的书面/电子资料，形成正式的采购意见；</w:t>
      </w:r>
    </w:p>
    <w:p w14:paraId="5C85B76C">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（七）招标、投标文件等招投标档案资料在该项代理结束时移交采购人归档，提供装订成册的招标总结文档资料；</w:t>
      </w:r>
    </w:p>
    <w:p w14:paraId="46F92388">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（八）应采购人要求，提供招投标业务培训服务；</w:t>
      </w:r>
    </w:p>
    <w:p w14:paraId="16782984">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（九）承担履行招标代理合同约定的所需的相关费用；根据需要就相关方对招标过程、评标过程、中标结果等的质疑或投诉做出相应处理或书面答复；</w:t>
      </w:r>
    </w:p>
    <w:p w14:paraId="742ACBD6">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（十）负责云南省政府采购管理信息系统招标代理应承担的相关工作；</w:t>
      </w:r>
    </w:p>
    <w:p w14:paraId="07C578EF">
      <w:pPr>
        <w:pStyle w:val="2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（十一）负责承办本单位委托范围内的其他有关事宜。</w:t>
      </w:r>
    </w:p>
    <w:p w14:paraId="2FCDE8C0">
      <w:pPr>
        <w:numPr>
          <w:ilvl w:val="0"/>
          <w:numId w:val="0"/>
        </w:numPr>
        <w:spacing w:line="420" w:lineRule="exact"/>
        <w:ind w:firstLine="420" w:firstLineChars="200"/>
        <w:rPr>
          <w:rFonts w:ascii="仿宋" w:hAnsi="仿宋" w:eastAsia="仿宋" w:cs="仿宋"/>
          <w:bCs/>
          <w:color w:val="auto"/>
          <w:szCs w:val="21"/>
          <w:highlight w:val="none"/>
        </w:rPr>
      </w:pPr>
      <w:r>
        <w:rPr>
          <w:rFonts w:hint="eastAsia" w:ascii="仿宋" w:hAnsi="仿宋" w:eastAsia="仿宋" w:cs="仿宋"/>
          <w:bCs/>
          <w:color w:val="auto"/>
          <w:szCs w:val="21"/>
          <w:highlight w:val="none"/>
        </w:rPr>
        <w:br w:type="page"/>
      </w:r>
    </w:p>
    <w:p w14:paraId="7DD7B63A">
      <w:pPr>
        <w:pStyle w:val="3"/>
        <w:numPr>
          <w:ilvl w:val="255"/>
          <w:numId w:val="0"/>
        </w:numPr>
        <w:ind w:left="-284"/>
        <w:jc w:val="center"/>
        <w:rPr>
          <w:rFonts w:hint="eastAsia" w:ascii="仿宋" w:hAnsi="仿宋" w:eastAsia="仿宋" w:cs="仿宋"/>
          <w:color w:val="auto"/>
          <w:sz w:val="36"/>
          <w:szCs w:val="22"/>
          <w:highlight w:val="none"/>
          <w:lang w:eastAsia="zh-CN"/>
        </w:rPr>
      </w:pPr>
      <w:bookmarkStart w:id="141" w:name="_Toc17707"/>
      <w:r>
        <w:rPr>
          <w:rFonts w:hint="eastAsia" w:ascii="仿宋" w:hAnsi="仿宋" w:eastAsia="仿宋" w:cs="仿宋"/>
          <w:color w:val="auto"/>
          <w:sz w:val="36"/>
          <w:szCs w:val="22"/>
          <w:highlight w:val="none"/>
        </w:rPr>
        <w:t>第六章  磋商程序和方法</w:t>
      </w:r>
      <w:bookmarkEnd w:id="141"/>
    </w:p>
    <w:p w14:paraId="6AABB69C">
      <w:pPr>
        <w:spacing w:line="360" w:lineRule="auto"/>
        <w:ind w:firstLine="480"/>
        <w:rPr>
          <w:rFonts w:ascii="仿宋" w:hAnsi="仿宋" w:eastAsia="仿宋" w:cs="仿宋"/>
          <w:color w:val="auto"/>
          <w:szCs w:val="21"/>
          <w:highlight w:val="none"/>
        </w:rPr>
      </w:pPr>
      <w:r>
        <w:rPr>
          <w:rFonts w:hint="eastAsia" w:ascii="仿宋" w:hAnsi="仿宋" w:eastAsia="仿宋" w:cs="仿宋"/>
          <w:color w:val="auto"/>
          <w:szCs w:val="21"/>
          <w:highlight w:val="none"/>
        </w:rPr>
        <w:t>1.本项目评审办法参照《中华人民共和国政府采购法》、《中华人民共和国政府采购法实施条例》、《政府采购货物和服务招标投标管理办法（财政部令第87号）》、</w:t>
      </w:r>
      <w:r>
        <w:rPr>
          <w:rFonts w:hint="eastAsia" w:ascii="仿宋" w:hAnsi="仿宋" w:eastAsia="仿宋" w:cs="仿宋"/>
          <w:bCs/>
          <w:color w:val="auto"/>
          <w:szCs w:val="21"/>
          <w:highlight w:val="none"/>
        </w:rPr>
        <w:t>《政府采购竞争性磋商采购方式管理暂行办法》</w:t>
      </w:r>
      <w:r>
        <w:rPr>
          <w:rFonts w:hint="eastAsia" w:ascii="仿宋" w:hAnsi="仿宋" w:eastAsia="仿宋" w:cs="仿宋"/>
          <w:color w:val="auto"/>
          <w:szCs w:val="21"/>
          <w:highlight w:val="none"/>
        </w:rPr>
        <w:t>等有关法律法规制定。</w:t>
      </w:r>
    </w:p>
    <w:p w14:paraId="4FCA86A6">
      <w:pPr>
        <w:spacing w:line="360" w:lineRule="auto"/>
        <w:ind w:firstLine="480"/>
        <w:rPr>
          <w:rFonts w:ascii="仿宋" w:hAnsi="仿宋" w:eastAsia="仿宋" w:cs="仿宋"/>
          <w:color w:val="auto"/>
          <w:szCs w:val="21"/>
          <w:highlight w:val="none"/>
        </w:rPr>
      </w:pPr>
      <w:r>
        <w:rPr>
          <w:rFonts w:hint="eastAsia" w:ascii="仿宋" w:hAnsi="仿宋" w:eastAsia="仿宋" w:cs="仿宋"/>
          <w:color w:val="auto"/>
          <w:szCs w:val="21"/>
          <w:highlight w:val="none"/>
        </w:rPr>
        <w:t>2.本办法是磋商小组确定成交候选人的依据，在磋商过程中应充分体现公平、公正、科学、择优的原则。</w:t>
      </w:r>
    </w:p>
    <w:p w14:paraId="2AF4A0F9">
      <w:pPr>
        <w:pStyle w:val="26"/>
        <w:spacing w:line="360" w:lineRule="auto"/>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3.在磋商评审过程中，磋商小组有权向磋商供应商索取任何与评标有关的资料，磋商供应商务必在接到此类要求后，在规定时间内予以答复。对于无答复的磋商供应商，买方有权拒绝其磋商。</w:t>
      </w:r>
    </w:p>
    <w:p w14:paraId="7BA80959">
      <w:pPr>
        <w:pStyle w:val="26"/>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4.磋商过程中若遇特殊问题，由磋商小组根据有关法律、法规、规定研究决定。</w:t>
      </w:r>
    </w:p>
    <w:p w14:paraId="0CB615FF">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5.根据《关于印发《政府采购竞争性磋商采购方式管理暂行办法》的通知（财库〔2014〕214号）》磋商小组应当根据综合评分情况，按照评审得分由高到低顺序推荐3名成交候选人，并编写评审报告</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符合本办法第二十一条第三款情形的，可以推荐2家成交候选人。评审得分相同的，按照最后报价由低到高的顺序推荐。评审得分且最后报价相同的，按照技术指标优劣顺序推荐。</w:t>
      </w:r>
    </w:p>
    <w:p w14:paraId="1E39C5FF">
      <w:pPr>
        <w:spacing w:line="360" w:lineRule="auto"/>
        <w:ind w:firstLine="420" w:firstLineChars="200"/>
        <w:rPr>
          <w:rFonts w:hint="default" w:ascii="仿宋" w:hAnsi="仿宋" w:eastAsia="仿宋" w:cs="仿宋"/>
          <w:b w:val="0"/>
          <w:bCs/>
          <w:color w:val="auto"/>
          <w:sz w:val="21"/>
          <w:szCs w:val="21"/>
          <w:lang w:val="en-US" w:eastAsia="zh-CN"/>
        </w:rPr>
      </w:pPr>
      <w:r>
        <w:rPr>
          <w:rFonts w:hint="eastAsia" w:ascii="仿宋" w:hAnsi="仿宋" w:eastAsia="仿宋" w:cs="仿宋"/>
          <w:b w:val="0"/>
          <w:bCs/>
          <w:color w:val="auto"/>
          <w:sz w:val="21"/>
          <w:szCs w:val="21"/>
          <w:lang w:val="en-US" w:eastAsia="zh-CN"/>
        </w:rPr>
        <w:t>6</w:t>
      </w:r>
      <w:r>
        <w:rPr>
          <w:rFonts w:hint="eastAsia" w:ascii="仿宋" w:hAnsi="仿宋" w:eastAsia="仿宋" w:cs="仿宋"/>
          <w:b w:val="0"/>
          <w:bCs/>
          <w:color w:val="auto"/>
          <w:sz w:val="21"/>
          <w:szCs w:val="21"/>
        </w:rPr>
        <w:t>、评分细则一览表：</w:t>
      </w:r>
      <w:r>
        <w:rPr>
          <w:rFonts w:hint="eastAsia" w:ascii="仿宋" w:hAnsi="仿宋" w:eastAsia="仿宋" w:cs="仿宋"/>
          <w:b w:val="0"/>
          <w:bCs/>
          <w:color w:val="auto"/>
          <w:w w:val="99"/>
          <w:sz w:val="21"/>
          <w:szCs w:val="21"/>
        </w:rPr>
        <w:t xml:space="preserve"> </w:t>
      </w:r>
    </w:p>
    <w:tbl>
      <w:tblPr>
        <w:tblStyle w:val="27"/>
        <w:tblpPr w:leftFromText="180" w:rightFromText="180" w:vertAnchor="text" w:horzAnchor="page" w:tblpX="1042" w:tblpY="715"/>
        <w:tblOverlap w:val="never"/>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11"/>
        <w:gridCol w:w="1699"/>
        <w:gridCol w:w="6925"/>
      </w:tblGrid>
      <w:tr w14:paraId="5175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431" w:type="dxa"/>
            <w:gridSpan w:val="2"/>
            <w:tcBorders>
              <w:top w:val="single" w:color="000000" w:sz="4" w:space="0"/>
              <w:left w:val="single" w:color="000000" w:sz="4" w:space="0"/>
              <w:bottom w:val="single" w:color="000000" w:sz="4" w:space="0"/>
              <w:right w:val="single" w:color="000000" w:sz="4" w:space="0"/>
            </w:tcBorders>
            <w:noWrap/>
            <w:vAlign w:val="center"/>
          </w:tcPr>
          <w:p w14:paraId="308D8914">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条款号</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221E6EA8">
            <w:pPr>
              <w:widowControl/>
              <w:jc w:val="left"/>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评审因素</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52A69E14">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评审标准</w:t>
            </w:r>
          </w:p>
        </w:tc>
      </w:tr>
      <w:tr w14:paraId="2DCC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20" w:type="dxa"/>
            <w:vMerge w:val="restart"/>
            <w:tcBorders>
              <w:top w:val="single" w:color="000000" w:sz="4" w:space="0"/>
              <w:left w:val="single" w:color="000000" w:sz="4" w:space="0"/>
              <w:right w:val="single" w:color="000000" w:sz="4" w:space="0"/>
            </w:tcBorders>
            <w:noWrap/>
            <w:vAlign w:val="center"/>
          </w:tcPr>
          <w:p w14:paraId="1EE03E98">
            <w:pPr>
              <w:widowControl/>
              <w:jc w:val="center"/>
              <w:rPr>
                <w:rFonts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p>
        </w:tc>
        <w:tc>
          <w:tcPr>
            <w:tcW w:w="711" w:type="dxa"/>
            <w:vMerge w:val="restart"/>
            <w:tcBorders>
              <w:top w:val="single" w:color="000000" w:sz="4" w:space="0"/>
              <w:left w:val="single" w:color="000000" w:sz="4" w:space="0"/>
              <w:right w:val="single" w:color="000000" w:sz="4" w:space="0"/>
            </w:tcBorders>
            <w:noWrap/>
            <w:vAlign w:val="center"/>
          </w:tcPr>
          <w:p w14:paraId="1144BCC6">
            <w:pPr>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资格性评审标准</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449FE583">
            <w:pPr>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《中华人民共和国政府采购法》第二十二条规定</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5E19B69D">
            <w:pPr>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符合第一章竞争性磋商公告“二、</w:t>
            </w:r>
            <w:r>
              <w:rPr>
                <w:rFonts w:hint="eastAsia" w:ascii="仿宋" w:hAnsi="仿宋" w:eastAsia="仿宋" w:cs="仿宋"/>
                <w:strike w:val="0"/>
                <w:color w:val="auto"/>
                <w:kern w:val="0"/>
                <w:szCs w:val="21"/>
                <w:highlight w:val="none"/>
                <w:lang w:val="en-US" w:eastAsia="zh-CN"/>
              </w:rPr>
              <w:t>申请人</w:t>
            </w:r>
            <w:r>
              <w:rPr>
                <w:rFonts w:hint="eastAsia" w:ascii="仿宋" w:hAnsi="仿宋" w:eastAsia="仿宋" w:cs="仿宋"/>
                <w:color w:val="auto"/>
                <w:kern w:val="0"/>
                <w:szCs w:val="21"/>
                <w:highlight w:val="none"/>
              </w:rPr>
              <w:t>资格要求”，且提供了竞争性磋商文件要求提供的证明材料</w:t>
            </w:r>
          </w:p>
        </w:tc>
      </w:tr>
      <w:tr w14:paraId="5298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720" w:type="dxa"/>
            <w:vMerge w:val="continue"/>
            <w:tcBorders>
              <w:left w:val="single" w:color="000000" w:sz="4" w:space="0"/>
              <w:right w:val="single" w:color="000000" w:sz="4" w:space="0"/>
            </w:tcBorders>
            <w:noWrap/>
            <w:vAlign w:val="center"/>
          </w:tcPr>
          <w:p w14:paraId="1A1EE51A">
            <w:pPr>
              <w:widowControl/>
              <w:jc w:val="center"/>
              <w:rPr>
                <w:rFonts w:ascii="仿宋" w:hAnsi="仿宋" w:eastAsia="仿宋" w:cs="仿宋"/>
                <w:color w:val="auto"/>
                <w:kern w:val="0"/>
                <w:sz w:val="24"/>
                <w:highlight w:val="none"/>
              </w:rPr>
            </w:pPr>
          </w:p>
        </w:tc>
        <w:tc>
          <w:tcPr>
            <w:tcW w:w="711" w:type="dxa"/>
            <w:vMerge w:val="continue"/>
            <w:tcBorders>
              <w:left w:val="single" w:color="000000" w:sz="4" w:space="0"/>
              <w:right w:val="single" w:color="000000" w:sz="4" w:space="0"/>
            </w:tcBorders>
            <w:noWrap/>
            <w:vAlign w:val="center"/>
          </w:tcPr>
          <w:p w14:paraId="15F92371">
            <w:pPr>
              <w:widowControl/>
              <w:jc w:val="left"/>
              <w:rPr>
                <w:rFonts w:ascii="仿宋" w:hAnsi="仿宋" w:eastAsia="仿宋" w:cs="仿宋"/>
                <w:color w:val="auto"/>
                <w:kern w:val="0"/>
                <w:szCs w:val="21"/>
                <w:highlight w:val="none"/>
              </w:rPr>
            </w:pP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2D02504F">
            <w:pPr>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根据本项目的其它资格要求</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388DCB35">
            <w:pPr>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符合第一章竞争性磋商公告“二、</w:t>
            </w:r>
            <w:r>
              <w:rPr>
                <w:rFonts w:hint="eastAsia" w:ascii="仿宋" w:hAnsi="仿宋" w:eastAsia="仿宋" w:cs="仿宋"/>
                <w:strike w:val="0"/>
                <w:color w:val="auto"/>
                <w:kern w:val="0"/>
                <w:szCs w:val="21"/>
                <w:highlight w:val="none"/>
                <w:lang w:val="en-US" w:eastAsia="zh-CN"/>
              </w:rPr>
              <w:t>申请人</w:t>
            </w:r>
            <w:r>
              <w:rPr>
                <w:rFonts w:hint="eastAsia" w:ascii="仿宋" w:hAnsi="仿宋" w:eastAsia="仿宋" w:cs="仿宋"/>
                <w:color w:val="auto"/>
                <w:kern w:val="0"/>
                <w:szCs w:val="21"/>
                <w:highlight w:val="none"/>
              </w:rPr>
              <w:t>资格要求”，且提供了竞争性磋商文件要求提供的证明材料</w:t>
            </w:r>
          </w:p>
        </w:tc>
      </w:tr>
      <w:tr w14:paraId="1E03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0055" w:type="dxa"/>
            <w:gridSpan w:val="4"/>
            <w:tcBorders>
              <w:top w:val="single" w:color="000000" w:sz="4" w:space="0"/>
              <w:left w:val="single" w:color="000000" w:sz="4" w:space="0"/>
              <w:bottom w:val="single" w:color="000000" w:sz="4" w:space="0"/>
              <w:right w:val="single" w:color="000000" w:sz="4" w:space="0"/>
            </w:tcBorders>
            <w:noWrap/>
            <w:vAlign w:val="center"/>
          </w:tcPr>
          <w:p w14:paraId="72762280">
            <w:pPr>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上述资格性评审标准，磋商申请人须全部满足，否则为不合格的磋商申请人，不得进入符合性评审、技术部分评审和磋商报价。</w:t>
            </w:r>
          </w:p>
        </w:tc>
      </w:tr>
      <w:tr w14:paraId="1FE1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431" w:type="dxa"/>
            <w:gridSpan w:val="2"/>
            <w:tcBorders>
              <w:top w:val="single" w:color="000000" w:sz="4" w:space="0"/>
              <w:left w:val="single" w:color="000000" w:sz="4" w:space="0"/>
              <w:bottom w:val="single" w:color="000000" w:sz="4" w:space="0"/>
              <w:right w:val="single" w:color="000000" w:sz="4" w:space="0"/>
            </w:tcBorders>
            <w:noWrap/>
            <w:vAlign w:val="center"/>
          </w:tcPr>
          <w:p w14:paraId="7E051292">
            <w:pPr>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条款号</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365B99AC">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评审因素</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6E1C9305">
            <w:pPr>
              <w:widowControl/>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评审标准</w:t>
            </w:r>
          </w:p>
        </w:tc>
      </w:tr>
      <w:tr w14:paraId="59A9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20" w:type="dxa"/>
            <w:vMerge w:val="restart"/>
            <w:tcBorders>
              <w:top w:val="single" w:color="000000" w:sz="4" w:space="0"/>
              <w:left w:val="single" w:color="000000" w:sz="4" w:space="0"/>
              <w:right w:val="single" w:color="000000" w:sz="4" w:space="0"/>
            </w:tcBorders>
            <w:noWrap/>
            <w:vAlign w:val="center"/>
          </w:tcPr>
          <w:p w14:paraId="580FAD9A">
            <w:pPr>
              <w:widowControl/>
              <w:jc w:val="left"/>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2</w:t>
            </w:r>
          </w:p>
        </w:tc>
        <w:tc>
          <w:tcPr>
            <w:tcW w:w="711" w:type="dxa"/>
            <w:vMerge w:val="restart"/>
            <w:tcBorders>
              <w:top w:val="single" w:color="000000" w:sz="4" w:space="0"/>
              <w:left w:val="single" w:color="000000" w:sz="4" w:space="0"/>
              <w:right w:val="single" w:color="000000" w:sz="4" w:space="0"/>
            </w:tcBorders>
            <w:noWrap/>
            <w:vAlign w:val="center"/>
          </w:tcPr>
          <w:p w14:paraId="764C439C">
            <w:pPr>
              <w:widowControl/>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响应性评审</w:t>
            </w: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0C3BBCDE">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报价</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4BA13F26">
            <w:pPr>
              <w:rPr>
                <w:rFonts w:hint="eastAsia" w:ascii="仿宋" w:hAnsi="仿宋" w:eastAsia="仿宋" w:cs="仿宋"/>
                <w:color w:val="auto"/>
                <w:kern w:val="0"/>
                <w:szCs w:val="21"/>
                <w:highlight w:val="none"/>
                <w:lang w:eastAsia="zh-CN"/>
              </w:rPr>
            </w:pPr>
            <w:r>
              <w:rPr>
                <w:rFonts w:hint="eastAsia" w:ascii="仿宋" w:hAnsi="仿宋" w:eastAsia="仿宋" w:cs="仿宋"/>
                <w:color w:val="auto"/>
                <w:kern w:val="0"/>
                <w:szCs w:val="21"/>
                <w:highlight w:val="none"/>
              </w:rPr>
              <w:t>完整且符合竞争性磋商文件规定</w:t>
            </w:r>
            <w:r>
              <w:rPr>
                <w:rFonts w:hint="eastAsia" w:ascii="仿宋" w:hAnsi="仿宋" w:eastAsia="仿宋" w:cs="仿宋"/>
                <w:color w:val="auto"/>
                <w:kern w:val="0"/>
                <w:szCs w:val="21"/>
                <w:highlight w:val="none"/>
                <w:lang w:eastAsia="zh-CN"/>
              </w:rPr>
              <w:t>的。</w:t>
            </w:r>
          </w:p>
        </w:tc>
      </w:tr>
      <w:tr w14:paraId="49CBB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B39B5DA">
            <w:pPr>
              <w:widowControl/>
              <w:jc w:val="left"/>
              <w:rPr>
                <w:rFonts w:ascii="仿宋" w:hAnsi="仿宋" w:eastAsia="仿宋" w:cs="仿宋"/>
                <w:color w:val="auto"/>
                <w:kern w:val="0"/>
                <w:szCs w:val="21"/>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14:paraId="194C6B36">
            <w:pPr>
              <w:widowControl/>
              <w:jc w:val="left"/>
              <w:rPr>
                <w:rFonts w:ascii="仿宋" w:hAnsi="仿宋" w:eastAsia="仿宋" w:cs="仿宋"/>
                <w:color w:val="auto"/>
                <w:kern w:val="0"/>
                <w:szCs w:val="21"/>
                <w:highlight w:val="none"/>
              </w:rPr>
            </w:pP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48094AE3">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磋商申请文件格式</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64105A39">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响应文件是否按规定的格式填写，是否有内容不全或关键字模糊、无法辨认的；</w:t>
            </w:r>
          </w:p>
        </w:tc>
      </w:tr>
      <w:tr w14:paraId="66C9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73B0503E">
            <w:pPr>
              <w:widowControl/>
              <w:jc w:val="left"/>
              <w:rPr>
                <w:rFonts w:ascii="仿宋" w:hAnsi="仿宋" w:eastAsia="仿宋" w:cs="仿宋"/>
                <w:color w:val="auto"/>
                <w:kern w:val="0"/>
                <w:szCs w:val="21"/>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14:paraId="38FC3DEC">
            <w:pPr>
              <w:widowControl/>
              <w:jc w:val="left"/>
              <w:rPr>
                <w:rFonts w:ascii="仿宋" w:hAnsi="仿宋" w:eastAsia="仿宋" w:cs="仿宋"/>
                <w:color w:val="auto"/>
                <w:kern w:val="0"/>
                <w:szCs w:val="21"/>
                <w:highlight w:val="none"/>
              </w:rPr>
            </w:pP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00B7B0C8">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磋商申请文件盖章、签字</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3CC0278C">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响应文件是否按规定盖章、签字；</w:t>
            </w:r>
          </w:p>
        </w:tc>
      </w:tr>
      <w:tr w14:paraId="01E3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F4E4234">
            <w:pPr>
              <w:widowControl/>
              <w:jc w:val="left"/>
              <w:rPr>
                <w:rFonts w:ascii="仿宋" w:hAnsi="仿宋" w:eastAsia="仿宋" w:cs="仿宋"/>
                <w:color w:val="auto"/>
                <w:kern w:val="0"/>
                <w:szCs w:val="21"/>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14:paraId="09F87A2C">
            <w:pPr>
              <w:widowControl/>
              <w:jc w:val="left"/>
              <w:rPr>
                <w:rFonts w:ascii="仿宋" w:hAnsi="仿宋" w:eastAsia="仿宋" w:cs="仿宋"/>
                <w:color w:val="auto"/>
                <w:kern w:val="0"/>
                <w:szCs w:val="21"/>
                <w:highlight w:val="none"/>
              </w:rPr>
            </w:pP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4C7D16A1">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服务期限</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6E4B556F">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响应文件载明的服务期限是否满足竞争性磋商文件规定的期限；</w:t>
            </w:r>
          </w:p>
        </w:tc>
      </w:tr>
      <w:tr w14:paraId="292B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5BD806BA">
            <w:pPr>
              <w:widowControl/>
              <w:jc w:val="left"/>
              <w:rPr>
                <w:rFonts w:ascii="仿宋" w:hAnsi="仿宋" w:eastAsia="仿宋" w:cs="仿宋"/>
                <w:color w:val="auto"/>
                <w:kern w:val="0"/>
                <w:szCs w:val="21"/>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14:paraId="36AF908B">
            <w:pPr>
              <w:widowControl/>
              <w:jc w:val="left"/>
              <w:rPr>
                <w:rFonts w:ascii="仿宋" w:hAnsi="仿宋" w:eastAsia="仿宋" w:cs="仿宋"/>
                <w:color w:val="auto"/>
                <w:kern w:val="0"/>
                <w:szCs w:val="21"/>
                <w:highlight w:val="none"/>
              </w:rPr>
            </w:pP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7E8FF0B7">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质量承诺</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24E3BA23">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质量承诺是否满足竞争性磋商文件的；</w:t>
            </w:r>
          </w:p>
        </w:tc>
      </w:tr>
      <w:tr w14:paraId="5DD5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DB2131F">
            <w:pPr>
              <w:widowControl/>
              <w:jc w:val="left"/>
              <w:rPr>
                <w:rFonts w:ascii="仿宋" w:hAnsi="仿宋" w:eastAsia="仿宋" w:cs="仿宋"/>
                <w:color w:val="auto"/>
                <w:kern w:val="0"/>
                <w:szCs w:val="21"/>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14:paraId="38AC6D64">
            <w:pPr>
              <w:widowControl/>
              <w:jc w:val="left"/>
              <w:rPr>
                <w:rFonts w:ascii="仿宋" w:hAnsi="仿宋" w:eastAsia="仿宋" w:cs="仿宋"/>
                <w:color w:val="auto"/>
                <w:kern w:val="0"/>
                <w:szCs w:val="21"/>
                <w:highlight w:val="none"/>
              </w:rPr>
            </w:pP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2E916549">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采购需求</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554D511E">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 符合磋商文件采购需求给出的要求。</w:t>
            </w:r>
          </w:p>
          <w:p w14:paraId="47162557">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 报价一览表中填报的各项价格</w:t>
            </w:r>
            <w:r>
              <w:rPr>
                <w:rFonts w:hint="eastAsia" w:ascii="仿宋" w:hAnsi="仿宋" w:eastAsia="仿宋" w:cs="仿宋"/>
                <w:color w:val="auto"/>
                <w:kern w:val="0"/>
                <w:szCs w:val="21"/>
                <w:highlight w:val="none"/>
                <w:lang w:val="en-US" w:eastAsia="zh-CN"/>
              </w:rPr>
              <w:t>满足磋商文件要求</w:t>
            </w:r>
            <w:r>
              <w:rPr>
                <w:rFonts w:hint="eastAsia" w:ascii="仿宋" w:hAnsi="仿宋" w:eastAsia="仿宋" w:cs="仿宋"/>
                <w:color w:val="auto"/>
                <w:kern w:val="0"/>
                <w:szCs w:val="21"/>
                <w:highlight w:val="none"/>
              </w:rPr>
              <w:t>。</w:t>
            </w:r>
          </w:p>
          <w:p w14:paraId="114F444B">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 供应商按照采购需求内容进行报价。</w:t>
            </w:r>
          </w:p>
        </w:tc>
      </w:tr>
      <w:tr w14:paraId="1F190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162C500D">
            <w:pPr>
              <w:widowControl/>
              <w:jc w:val="left"/>
              <w:rPr>
                <w:rFonts w:ascii="仿宋" w:hAnsi="仿宋" w:eastAsia="仿宋" w:cs="仿宋"/>
                <w:color w:val="auto"/>
                <w:kern w:val="0"/>
                <w:szCs w:val="21"/>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14:paraId="7A7BF00D">
            <w:pPr>
              <w:widowControl/>
              <w:jc w:val="left"/>
              <w:rPr>
                <w:rFonts w:ascii="仿宋" w:hAnsi="仿宋" w:eastAsia="仿宋" w:cs="仿宋"/>
                <w:color w:val="auto"/>
                <w:kern w:val="0"/>
                <w:szCs w:val="21"/>
                <w:highlight w:val="none"/>
              </w:rPr>
            </w:pPr>
          </w:p>
        </w:tc>
        <w:tc>
          <w:tcPr>
            <w:tcW w:w="1699" w:type="dxa"/>
            <w:tcBorders>
              <w:top w:val="single" w:color="000000" w:sz="4" w:space="0"/>
              <w:left w:val="single" w:color="000000" w:sz="4" w:space="0"/>
              <w:bottom w:val="single" w:color="000000" w:sz="4" w:space="0"/>
              <w:right w:val="single" w:color="000000" w:sz="4" w:space="0"/>
            </w:tcBorders>
            <w:noWrap/>
          </w:tcPr>
          <w:p w14:paraId="6D56E3A4">
            <w:pPr>
              <w:jc w:val="center"/>
              <w:rPr>
                <w:rFonts w:ascii="仿宋" w:hAnsi="仿宋" w:eastAsia="仿宋" w:cs="仿宋"/>
                <w:color w:val="auto"/>
                <w:kern w:val="0"/>
                <w:szCs w:val="21"/>
                <w:highlight w:val="none"/>
              </w:rPr>
            </w:pPr>
          </w:p>
          <w:p w14:paraId="600E87AB">
            <w:pPr>
              <w:jc w:val="center"/>
              <w:rPr>
                <w:rFonts w:ascii="仿宋" w:hAnsi="仿宋" w:eastAsia="仿宋" w:cs="仿宋"/>
                <w:color w:val="auto"/>
                <w:kern w:val="0"/>
                <w:szCs w:val="21"/>
                <w:highlight w:val="none"/>
              </w:rPr>
            </w:pPr>
          </w:p>
          <w:p w14:paraId="30FB553A">
            <w:pPr>
              <w:jc w:val="center"/>
              <w:rPr>
                <w:rFonts w:ascii="仿宋" w:hAnsi="仿宋" w:eastAsia="仿宋" w:cs="仿宋"/>
                <w:color w:val="auto"/>
                <w:kern w:val="0"/>
                <w:szCs w:val="21"/>
                <w:highlight w:val="none"/>
              </w:rPr>
            </w:pPr>
          </w:p>
          <w:p w14:paraId="13C4D515">
            <w:pPr>
              <w:jc w:val="center"/>
              <w:rPr>
                <w:rFonts w:ascii="仿宋" w:hAnsi="仿宋" w:eastAsia="仿宋" w:cs="仿宋"/>
                <w:color w:val="auto"/>
                <w:kern w:val="0"/>
                <w:szCs w:val="21"/>
                <w:highlight w:val="none"/>
              </w:rPr>
            </w:pPr>
          </w:p>
          <w:p w14:paraId="14BEA12D">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其他无效情形</w:t>
            </w:r>
          </w:p>
        </w:tc>
        <w:tc>
          <w:tcPr>
            <w:tcW w:w="6925" w:type="dxa"/>
            <w:tcBorders>
              <w:top w:val="single" w:color="000000" w:sz="4" w:space="0"/>
              <w:left w:val="single" w:color="000000" w:sz="4" w:space="0"/>
              <w:bottom w:val="single" w:color="000000" w:sz="4" w:space="0"/>
              <w:right w:val="single" w:color="000000" w:sz="4" w:space="0"/>
            </w:tcBorders>
            <w:noWrap/>
          </w:tcPr>
          <w:p w14:paraId="53EEC7A3">
            <w:pPr>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(1)不同供应商的响应文件由同一单位或者个人编制；</w:t>
            </w:r>
          </w:p>
          <w:p w14:paraId="4FBD568C">
            <w:pPr>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(2)不同供应商委托同一单位或者个人办理磋商事宜；</w:t>
            </w:r>
          </w:p>
          <w:p w14:paraId="60EC3A5D">
            <w:pPr>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(3)不同供应商的响应文件载明的项目管理成员或者联系人员为同一人；</w:t>
            </w:r>
          </w:p>
          <w:p w14:paraId="01C2D393">
            <w:pPr>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(4)不同供应商的响应文件异常一致或者磋商报价呈规律性差异；</w:t>
            </w:r>
          </w:p>
          <w:p w14:paraId="52B92F5E">
            <w:pPr>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(5)不同供应商的响应文件相互混装；</w:t>
            </w:r>
          </w:p>
          <w:p w14:paraId="63784AF6">
            <w:pPr>
              <w:jc w:val="left"/>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val="en-US" w:eastAsia="zh-CN"/>
              </w:rPr>
              <w:t>6</w:t>
            </w:r>
            <w:r>
              <w:rPr>
                <w:rFonts w:hint="eastAsia" w:ascii="仿宋" w:hAnsi="仿宋" w:eastAsia="仿宋" w:cs="仿宋"/>
                <w:color w:val="auto"/>
                <w:kern w:val="0"/>
                <w:szCs w:val="21"/>
                <w:highlight w:val="none"/>
              </w:rPr>
              <w:t>)法律、法规和竞争性磋商文件规定的其他无效情形。</w:t>
            </w:r>
          </w:p>
        </w:tc>
      </w:tr>
      <w:tr w14:paraId="16FE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453D8AF1">
            <w:pPr>
              <w:widowControl/>
              <w:jc w:val="left"/>
              <w:rPr>
                <w:rFonts w:ascii="仿宋" w:hAnsi="仿宋" w:eastAsia="仿宋" w:cs="仿宋"/>
                <w:color w:val="auto"/>
                <w:kern w:val="0"/>
                <w:szCs w:val="21"/>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14:paraId="3CCF3B24">
            <w:pPr>
              <w:widowControl/>
              <w:jc w:val="left"/>
              <w:rPr>
                <w:rFonts w:ascii="仿宋" w:hAnsi="仿宋" w:eastAsia="仿宋" w:cs="仿宋"/>
                <w:color w:val="auto"/>
                <w:kern w:val="0"/>
                <w:szCs w:val="21"/>
                <w:highlight w:val="none"/>
              </w:rPr>
            </w:pP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60C29DC8">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采购人不能接受的条件</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3C3E3550">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响应文件中是否附有采购人不能接受的条件的；</w:t>
            </w:r>
          </w:p>
        </w:tc>
      </w:tr>
      <w:tr w14:paraId="2B79B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20" w:type="dxa"/>
            <w:vMerge w:val="continue"/>
            <w:tcBorders>
              <w:top w:val="single" w:color="000000" w:sz="4" w:space="0"/>
              <w:left w:val="single" w:color="000000" w:sz="4" w:space="0"/>
              <w:bottom w:val="single" w:color="000000" w:sz="4" w:space="0"/>
              <w:right w:val="single" w:color="000000" w:sz="4" w:space="0"/>
            </w:tcBorders>
            <w:noWrap/>
            <w:vAlign w:val="center"/>
          </w:tcPr>
          <w:p w14:paraId="068EE800">
            <w:pPr>
              <w:widowControl/>
              <w:jc w:val="left"/>
              <w:rPr>
                <w:rFonts w:ascii="仿宋" w:hAnsi="仿宋" w:eastAsia="仿宋" w:cs="仿宋"/>
                <w:color w:val="auto"/>
                <w:kern w:val="0"/>
                <w:szCs w:val="21"/>
                <w:highlight w:val="none"/>
              </w:rPr>
            </w:pPr>
          </w:p>
        </w:tc>
        <w:tc>
          <w:tcPr>
            <w:tcW w:w="711" w:type="dxa"/>
            <w:vMerge w:val="continue"/>
            <w:tcBorders>
              <w:top w:val="single" w:color="000000" w:sz="4" w:space="0"/>
              <w:left w:val="single" w:color="000000" w:sz="4" w:space="0"/>
              <w:bottom w:val="single" w:color="000000" w:sz="4" w:space="0"/>
              <w:right w:val="single" w:color="000000" w:sz="4" w:space="0"/>
            </w:tcBorders>
            <w:noWrap/>
            <w:vAlign w:val="center"/>
          </w:tcPr>
          <w:p w14:paraId="6BCAE002">
            <w:pPr>
              <w:widowControl/>
              <w:jc w:val="left"/>
              <w:rPr>
                <w:rFonts w:ascii="仿宋" w:hAnsi="仿宋" w:eastAsia="仿宋" w:cs="仿宋"/>
                <w:color w:val="auto"/>
                <w:kern w:val="0"/>
                <w:szCs w:val="21"/>
                <w:highlight w:val="none"/>
              </w:rPr>
            </w:pPr>
          </w:p>
        </w:tc>
        <w:tc>
          <w:tcPr>
            <w:tcW w:w="1699" w:type="dxa"/>
            <w:tcBorders>
              <w:top w:val="single" w:color="000000" w:sz="4" w:space="0"/>
              <w:left w:val="single" w:color="000000" w:sz="4" w:space="0"/>
              <w:bottom w:val="single" w:color="000000" w:sz="4" w:space="0"/>
              <w:right w:val="single" w:color="000000" w:sz="4" w:space="0"/>
            </w:tcBorders>
            <w:noWrap/>
            <w:vAlign w:val="center"/>
          </w:tcPr>
          <w:p w14:paraId="63B2F140">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其他实质性要求</w:t>
            </w:r>
          </w:p>
        </w:tc>
        <w:tc>
          <w:tcPr>
            <w:tcW w:w="6925" w:type="dxa"/>
            <w:tcBorders>
              <w:top w:val="single" w:color="000000" w:sz="4" w:space="0"/>
              <w:left w:val="single" w:color="000000" w:sz="4" w:space="0"/>
              <w:bottom w:val="single" w:color="000000" w:sz="4" w:space="0"/>
              <w:right w:val="single" w:color="000000" w:sz="4" w:space="0"/>
            </w:tcBorders>
            <w:noWrap/>
            <w:vAlign w:val="center"/>
          </w:tcPr>
          <w:p w14:paraId="25C92ADB">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不符合本次竞争性磋商文件的其他实质性要求的。</w:t>
            </w:r>
          </w:p>
        </w:tc>
      </w:tr>
      <w:tr w14:paraId="22BD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055" w:type="dxa"/>
            <w:gridSpan w:val="4"/>
            <w:tcBorders>
              <w:top w:val="single" w:color="000000" w:sz="4" w:space="0"/>
              <w:left w:val="single" w:color="000000" w:sz="4" w:space="0"/>
              <w:bottom w:val="single" w:color="000000" w:sz="4" w:space="0"/>
              <w:right w:val="single" w:color="000000" w:sz="4" w:space="0"/>
            </w:tcBorders>
            <w:noWrap/>
            <w:vAlign w:val="center"/>
          </w:tcPr>
          <w:p w14:paraId="045C56B4">
            <w:pP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上述符合性评审标准，磋商申请人须全部满足，否则为不合格的磋商申请人，不得进入技术部分评审和磋商报价。</w:t>
            </w:r>
          </w:p>
        </w:tc>
      </w:tr>
    </w:tbl>
    <w:p w14:paraId="59110B04">
      <w:pPr>
        <w:tabs>
          <w:tab w:val="left" w:pos="6480"/>
        </w:tabs>
        <w:autoSpaceDE w:val="0"/>
        <w:autoSpaceDN w:val="0"/>
        <w:spacing w:line="360" w:lineRule="auto"/>
        <w:ind w:right="-315"/>
        <w:rPr>
          <w:rFonts w:ascii="宋体" w:hAnsi="宋体" w:cs="宋体"/>
          <w:color w:val="auto"/>
          <w:szCs w:val="21"/>
          <w:highlight w:val="none"/>
        </w:rPr>
      </w:pPr>
    </w:p>
    <w:p w14:paraId="5DC43E95">
      <w:pPr>
        <w:tabs>
          <w:tab w:val="left" w:pos="6480"/>
        </w:tabs>
        <w:autoSpaceDE w:val="0"/>
        <w:autoSpaceDN w:val="0"/>
        <w:spacing w:line="360" w:lineRule="auto"/>
        <w:ind w:left="875" w:right="-315" w:hanging="1049"/>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val="zh-CN"/>
        </w:rPr>
        <w:t xml:space="preserve"> </w:t>
      </w:r>
      <w:r>
        <w:rPr>
          <w:rFonts w:hint="eastAsia" w:ascii="仿宋" w:hAnsi="仿宋" w:eastAsia="仿宋" w:cs="仿宋"/>
          <w:color w:val="auto"/>
          <w:szCs w:val="21"/>
          <w:highlight w:val="none"/>
          <w:lang w:val="en-US" w:eastAsia="zh-CN"/>
        </w:rPr>
        <w:t>详细评审</w:t>
      </w:r>
      <w:r>
        <w:rPr>
          <w:rFonts w:hint="eastAsia" w:ascii="仿宋" w:hAnsi="仿宋" w:eastAsia="仿宋" w:cs="仿宋"/>
          <w:color w:val="auto"/>
          <w:szCs w:val="21"/>
          <w:highlight w:val="none"/>
          <w:lang w:val="zh-CN"/>
        </w:rPr>
        <w:t>因素以及分值</w:t>
      </w:r>
    </w:p>
    <w:tbl>
      <w:tblPr>
        <w:tblStyle w:val="27"/>
        <w:tblpPr w:leftFromText="180" w:rightFromText="180" w:vertAnchor="text" w:horzAnchor="page" w:tblpX="933" w:tblpY="85"/>
        <w:tblOverlap w:val="never"/>
        <w:tblW w:w="10062" w:type="dxa"/>
        <w:tblInd w:w="0" w:type="dxa"/>
        <w:tblLayout w:type="fixed"/>
        <w:tblCellMar>
          <w:top w:w="0" w:type="dxa"/>
          <w:left w:w="10" w:type="dxa"/>
          <w:bottom w:w="0" w:type="dxa"/>
          <w:right w:w="10" w:type="dxa"/>
        </w:tblCellMar>
      </w:tblPr>
      <w:tblGrid>
        <w:gridCol w:w="2094"/>
        <w:gridCol w:w="1735"/>
        <w:gridCol w:w="1759"/>
        <w:gridCol w:w="2177"/>
        <w:gridCol w:w="2297"/>
      </w:tblGrid>
      <w:tr w14:paraId="2949DBB8">
        <w:tblPrEx>
          <w:tblCellMar>
            <w:top w:w="0" w:type="dxa"/>
            <w:left w:w="10" w:type="dxa"/>
            <w:bottom w:w="0" w:type="dxa"/>
            <w:right w:w="10" w:type="dxa"/>
          </w:tblCellMar>
        </w:tblPrEx>
        <w:trPr>
          <w:trHeight w:val="428" w:hRule="atLeast"/>
        </w:trPr>
        <w:tc>
          <w:tcPr>
            <w:tcW w:w="2094" w:type="dxa"/>
            <w:tcBorders>
              <w:top w:val="single" w:color="auto" w:sz="6" w:space="0"/>
              <w:left w:val="single" w:color="auto" w:sz="6" w:space="0"/>
              <w:right w:val="single" w:color="auto" w:sz="6" w:space="0"/>
            </w:tcBorders>
            <w:noWrap/>
            <w:vAlign w:val="center"/>
          </w:tcPr>
          <w:p w14:paraId="59164D03">
            <w:pPr>
              <w:tabs>
                <w:tab w:val="left" w:pos="6480"/>
              </w:tabs>
              <w:autoSpaceDE w:val="0"/>
              <w:autoSpaceDN w:val="0"/>
              <w:snapToGrid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评分因素</w:t>
            </w:r>
          </w:p>
        </w:tc>
        <w:tc>
          <w:tcPr>
            <w:tcW w:w="1735" w:type="dxa"/>
            <w:tcBorders>
              <w:top w:val="single" w:color="auto" w:sz="6" w:space="0"/>
              <w:left w:val="single" w:color="auto" w:sz="6" w:space="0"/>
              <w:right w:val="single" w:color="auto" w:sz="6" w:space="0"/>
            </w:tcBorders>
            <w:noWrap/>
            <w:vAlign w:val="center"/>
          </w:tcPr>
          <w:p w14:paraId="14F4AA42">
            <w:pPr>
              <w:tabs>
                <w:tab w:val="left" w:pos="6480"/>
              </w:tabs>
              <w:autoSpaceDE w:val="0"/>
              <w:autoSpaceDN w:val="0"/>
              <w:snapToGrid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价格部分</w:t>
            </w:r>
          </w:p>
        </w:tc>
        <w:tc>
          <w:tcPr>
            <w:tcW w:w="1759" w:type="dxa"/>
            <w:tcBorders>
              <w:top w:val="single" w:color="auto" w:sz="6" w:space="0"/>
              <w:left w:val="single" w:color="auto" w:sz="6" w:space="0"/>
              <w:right w:val="single" w:color="auto" w:sz="6" w:space="0"/>
            </w:tcBorders>
            <w:noWrap/>
            <w:vAlign w:val="center"/>
          </w:tcPr>
          <w:p w14:paraId="7B7F38B3">
            <w:pPr>
              <w:tabs>
                <w:tab w:val="left" w:pos="6480"/>
              </w:tabs>
              <w:autoSpaceDE w:val="0"/>
              <w:autoSpaceDN w:val="0"/>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rPr>
              <w:t>技术部分</w:t>
            </w:r>
          </w:p>
        </w:tc>
        <w:tc>
          <w:tcPr>
            <w:tcW w:w="2177" w:type="dxa"/>
            <w:tcBorders>
              <w:top w:val="single" w:color="auto" w:sz="6" w:space="0"/>
              <w:left w:val="single" w:color="auto" w:sz="6" w:space="0"/>
              <w:bottom w:val="single" w:color="auto" w:sz="6" w:space="0"/>
              <w:right w:val="single" w:color="auto" w:sz="6" w:space="0"/>
            </w:tcBorders>
            <w:noWrap/>
            <w:vAlign w:val="center"/>
          </w:tcPr>
          <w:p w14:paraId="2FA1BD49">
            <w:pPr>
              <w:tabs>
                <w:tab w:val="left" w:pos="6480"/>
              </w:tabs>
              <w:autoSpaceDE w:val="0"/>
              <w:autoSpaceDN w:val="0"/>
              <w:snapToGrid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商务部分</w:t>
            </w:r>
          </w:p>
        </w:tc>
        <w:tc>
          <w:tcPr>
            <w:tcW w:w="2297" w:type="dxa"/>
            <w:tcBorders>
              <w:top w:val="single" w:color="auto" w:sz="6" w:space="0"/>
              <w:left w:val="single" w:color="auto" w:sz="6" w:space="0"/>
              <w:bottom w:val="single" w:color="auto" w:sz="6" w:space="0"/>
              <w:right w:val="single" w:color="auto" w:sz="6" w:space="0"/>
            </w:tcBorders>
            <w:noWrap/>
            <w:vAlign w:val="center"/>
          </w:tcPr>
          <w:p w14:paraId="046B83F0">
            <w:pPr>
              <w:tabs>
                <w:tab w:val="left" w:pos="6480"/>
              </w:tabs>
              <w:autoSpaceDE w:val="0"/>
              <w:autoSpaceDN w:val="0"/>
              <w:snapToGrid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总分值</w:t>
            </w:r>
          </w:p>
        </w:tc>
      </w:tr>
      <w:tr w14:paraId="21DD3FD8">
        <w:tblPrEx>
          <w:tblCellMar>
            <w:top w:w="0" w:type="dxa"/>
            <w:left w:w="10" w:type="dxa"/>
            <w:bottom w:w="0" w:type="dxa"/>
            <w:right w:w="10" w:type="dxa"/>
          </w:tblCellMar>
        </w:tblPrEx>
        <w:trPr>
          <w:trHeight w:val="90" w:hRule="atLeast"/>
        </w:trPr>
        <w:tc>
          <w:tcPr>
            <w:tcW w:w="2094" w:type="dxa"/>
            <w:tcBorders>
              <w:top w:val="single" w:color="auto" w:sz="6" w:space="0"/>
              <w:left w:val="single" w:color="auto" w:sz="6" w:space="0"/>
              <w:bottom w:val="single" w:color="auto" w:sz="6" w:space="0"/>
              <w:right w:val="single" w:color="auto" w:sz="6" w:space="0"/>
            </w:tcBorders>
            <w:noWrap/>
            <w:vAlign w:val="center"/>
          </w:tcPr>
          <w:p w14:paraId="46F13FCC">
            <w:pPr>
              <w:tabs>
                <w:tab w:val="left" w:pos="6480"/>
              </w:tabs>
              <w:autoSpaceDE w:val="0"/>
              <w:autoSpaceDN w:val="0"/>
              <w:snapToGrid w:val="0"/>
              <w:spacing w:line="360" w:lineRule="auto"/>
              <w:ind w:left="-456" w:leftChars="-217" w:firstLine="380" w:firstLineChars="181"/>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分值</w:t>
            </w:r>
          </w:p>
        </w:tc>
        <w:tc>
          <w:tcPr>
            <w:tcW w:w="1735" w:type="dxa"/>
            <w:tcBorders>
              <w:top w:val="single" w:color="auto" w:sz="6" w:space="0"/>
              <w:left w:val="single" w:color="auto" w:sz="6" w:space="0"/>
              <w:bottom w:val="single" w:color="auto" w:sz="6" w:space="0"/>
              <w:right w:val="single" w:color="auto" w:sz="6" w:space="0"/>
            </w:tcBorders>
            <w:noWrap/>
            <w:vAlign w:val="center"/>
          </w:tcPr>
          <w:p w14:paraId="645CEDD2">
            <w:pPr>
              <w:tabs>
                <w:tab w:val="left" w:pos="6480"/>
              </w:tabs>
              <w:autoSpaceDE w:val="0"/>
              <w:autoSpaceDN w:val="0"/>
              <w:snapToGrid w:val="0"/>
              <w:spacing w:line="360" w:lineRule="auto"/>
              <w:jc w:val="center"/>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rPr>
              <w:t>分</w:t>
            </w:r>
          </w:p>
        </w:tc>
        <w:tc>
          <w:tcPr>
            <w:tcW w:w="1759" w:type="dxa"/>
            <w:tcBorders>
              <w:top w:val="single" w:color="auto" w:sz="6" w:space="0"/>
              <w:left w:val="single" w:color="auto" w:sz="6" w:space="0"/>
              <w:bottom w:val="single" w:color="auto" w:sz="6" w:space="0"/>
              <w:right w:val="single" w:color="auto" w:sz="6" w:space="0"/>
            </w:tcBorders>
            <w:noWrap/>
            <w:vAlign w:val="center"/>
          </w:tcPr>
          <w:p w14:paraId="7423A4B8">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7</w:t>
            </w:r>
            <w:r>
              <w:rPr>
                <w:rFonts w:hint="eastAsia" w:ascii="仿宋" w:hAnsi="仿宋" w:eastAsia="仿宋" w:cs="仿宋"/>
                <w:color w:val="auto"/>
                <w:kern w:val="0"/>
                <w:szCs w:val="21"/>
                <w:highlight w:val="none"/>
                <w:lang w:val="en-US" w:eastAsia="zh-CN"/>
              </w:rPr>
              <w:t>0</w:t>
            </w:r>
            <w:r>
              <w:rPr>
                <w:rFonts w:hint="eastAsia" w:ascii="仿宋" w:hAnsi="仿宋" w:eastAsia="仿宋" w:cs="仿宋"/>
                <w:color w:val="auto"/>
                <w:kern w:val="0"/>
                <w:szCs w:val="21"/>
                <w:highlight w:val="none"/>
              </w:rPr>
              <w:t>分</w:t>
            </w:r>
          </w:p>
        </w:tc>
        <w:tc>
          <w:tcPr>
            <w:tcW w:w="2177" w:type="dxa"/>
            <w:tcBorders>
              <w:top w:val="single" w:color="auto" w:sz="6" w:space="0"/>
              <w:left w:val="single" w:color="auto" w:sz="6" w:space="0"/>
              <w:bottom w:val="single" w:color="auto" w:sz="6" w:space="0"/>
              <w:right w:val="single" w:color="auto" w:sz="6" w:space="0"/>
            </w:tcBorders>
            <w:noWrap/>
            <w:vAlign w:val="center"/>
          </w:tcPr>
          <w:p w14:paraId="0613CA9B">
            <w:pPr>
              <w:jc w:val="center"/>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10</w:t>
            </w:r>
            <w:r>
              <w:rPr>
                <w:rFonts w:hint="eastAsia" w:ascii="仿宋" w:hAnsi="仿宋" w:eastAsia="仿宋" w:cs="仿宋"/>
                <w:color w:val="auto"/>
                <w:kern w:val="0"/>
                <w:szCs w:val="21"/>
                <w:highlight w:val="none"/>
              </w:rPr>
              <w:t>分</w:t>
            </w:r>
          </w:p>
        </w:tc>
        <w:tc>
          <w:tcPr>
            <w:tcW w:w="2297" w:type="dxa"/>
            <w:tcBorders>
              <w:top w:val="single" w:color="auto" w:sz="6" w:space="0"/>
              <w:left w:val="single" w:color="auto" w:sz="6" w:space="0"/>
              <w:bottom w:val="single" w:color="auto" w:sz="6" w:space="0"/>
              <w:right w:val="single" w:color="auto" w:sz="6" w:space="0"/>
            </w:tcBorders>
            <w:noWrap/>
            <w:vAlign w:val="center"/>
          </w:tcPr>
          <w:p w14:paraId="08AB28D4">
            <w:pPr>
              <w:jc w:val="center"/>
              <w:rPr>
                <w:rFonts w:ascii="仿宋" w:hAnsi="仿宋" w:eastAsia="仿宋" w:cs="仿宋"/>
                <w:color w:val="auto"/>
                <w:kern w:val="0"/>
                <w:szCs w:val="21"/>
                <w:highlight w:val="none"/>
                <w:lang w:val="zh-CN"/>
              </w:rPr>
            </w:pPr>
            <w:r>
              <w:rPr>
                <w:rFonts w:hint="eastAsia" w:ascii="仿宋" w:hAnsi="仿宋" w:eastAsia="仿宋" w:cs="仿宋"/>
                <w:color w:val="auto"/>
                <w:kern w:val="0"/>
                <w:szCs w:val="21"/>
                <w:highlight w:val="none"/>
                <w:lang w:val="zh-CN"/>
              </w:rPr>
              <w:t>100</w:t>
            </w:r>
            <w:r>
              <w:rPr>
                <w:rFonts w:hint="eastAsia" w:ascii="仿宋" w:hAnsi="仿宋" w:eastAsia="仿宋" w:cs="仿宋"/>
                <w:color w:val="auto"/>
                <w:kern w:val="0"/>
                <w:szCs w:val="21"/>
                <w:highlight w:val="none"/>
              </w:rPr>
              <w:t>分</w:t>
            </w:r>
          </w:p>
        </w:tc>
      </w:tr>
    </w:tbl>
    <w:p w14:paraId="1236F4C6">
      <w:pPr>
        <w:rPr>
          <w:rFonts w:ascii="仿宋" w:hAnsi="仿宋" w:eastAsia="仿宋" w:cs="仿宋"/>
          <w:color w:val="auto"/>
          <w:szCs w:val="21"/>
          <w:highlight w:val="none"/>
        </w:rPr>
      </w:pPr>
    </w:p>
    <w:p w14:paraId="1D45B604">
      <w:pPr>
        <w:tabs>
          <w:tab w:val="left" w:pos="6480"/>
        </w:tabs>
        <w:autoSpaceDE w:val="0"/>
        <w:autoSpaceDN w:val="0"/>
        <w:spacing w:line="360" w:lineRule="auto"/>
        <w:ind w:left="875" w:right="-315" w:hanging="1049"/>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3.1</w:t>
      </w:r>
      <w:r>
        <w:rPr>
          <w:rFonts w:hint="eastAsia" w:ascii="仿宋" w:hAnsi="仿宋" w:eastAsia="仿宋" w:cs="仿宋"/>
          <w:color w:val="auto"/>
          <w:szCs w:val="21"/>
          <w:highlight w:val="none"/>
          <w:lang w:val="zh-CN"/>
        </w:rPr>
        <w:t>价格部分</w:t>
      </w:r>
    </w:p>
    <w:tbl>
      <w:tblPr>
        <w:tblStyle w:val="27"/>
        <w:tblpPr w:leftFromText="180" w:rightFromText="180" w:vertAnchor="text" w:horzAnchor="page" w:tblpX="954" w:tblpY="480"/>
        <w:tblOverlap w:val="never"/>
        <w:tblW w:w="9939" w:type="dxa"/>
        <w:tblInd w:w="0" w:type="dxa"/>
        <w:tblLayout w:type="fixed"/>
        <w:tblCellMar>
          <w:top w:w="0" w:type="dxa"/>
          <w:left w:w="108" w:type="dxa"/>
          <w:bottom w:w="0" w:type="dxa"/>
          <w:right w:w="108" w:type="dxa"/>
        </w:tblCellMar>
      </w:tblPr>
      <w:tblGrid>
        <w:gridCol w:w="1605"/>
        <w:gridCol w:w="973"/>
        <w:gridCol w:w="7361"/>
      </w:tblGrid>
      <w:tr w14:paraId="15842341">
        <w:tblPrEx>
          <w:tblCellMar>
            <w:top w:w="0" w:type="dxa"/>
            <w:left w:w="108" w:type="dxa"/>
            <w:bottom w:w="0" w:type="dxa"/>
            <w:right w:w="108" w:type="dxa"/>
          </w:tblCellMar>
        </w:tblPrEx>
        <w:trPr>
          <w:trHeight w:val="214" w:hRule="atLeast"/>
        </w:trPr>
        <w:tc>
          <w:tcPr>
            <w:tcW w:w="1605" w:type="dxa"/>
            <w:tcBorders>
              <w:top w:val="single" w:color="auto" w:sz="6" w:space="0"/>
              <w:left w:val="single" w:color="auto" w:sz="6" w:space="0"/>
              <w:bottom w:val="single" w:color="auto" w:sz="6" w:space="0"/>
              <w:right w:val="single" w:color="auto" w:sz="6" w:space="0"/>
            </w:tcBorders>
            <w:noWrap/>
            <w:vAlign w:val="center"/>
          </w:tcPr>
          <w:p w14:paraId="0B57699C">
            <w:pPr>
              <w:autoSpaceDE w:val="0"/>
              <w:autoSpaceDN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评审项目</w:t>
            </w:r>
          </w:p>
        </w:tc>
        <w:tc>
          <w:tcPr>
            <w:tcW w:w="973" w:type="dxa"/>
            <w:tcBorders>
              <w:top w:val="single" w:color="auto" w:sz="6" w:space="0"/>
              <w:left w:val="single" w:color="auto" w:sz="6" w:space="0"/>
              <w:bottom w:val="single" w:color="auto" w:sz="6" w:space="0"/>
              <w:right w:val="single" w:color="auto" w:sz="6" w:space="0"/>
            </w:tcBorders>
            <w:noWrap/>
            <w:vAlign w:val="center"/>
          </w:tcPr>
          <w:p w14:paraId="3AA35AD2">
            <w:pPr>
              <w:autoSpaceDE w:val="0"/>
              <w:autoSpaceDN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分值</w:t>
            </w:r>
          </w:p>
        </w:tc>
        <w:tc>
          <w:tcPr>
            <w:tcW w:w="7361" w:type="dxa"/>
            <w:tcBorders>
              <w:top w:val="single" w:color="auto" w:sz="6" w:space="0"/>
              <w:left w:val="single" w:color="auto" w:sz="6" w:space="0"/>
              <w:bottom w:val="single" w:color="auto" w:sz="6" w:space="0"/>
              <w:right w:val="single" w:color="auto" w:sz="6" w:space="0"/>
            </w:tcBorders>
            <w:noWrap/>
            <w:vAlign w:val="center"/>
          </w:tcPr>
          <w:p w14:paraId="172B3CD5">
            <w:pPr>
              <w:autoSpaceDE w:val="0"/>
              <w:autoSpaceDN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评分标准</w:t>
            </w:r>
          </w:p>
        </w:tc>
      </w:tr>
      <w:tr w14:paraId="14845413">
        <w:tblPrEx>
          <w:tblCellMar>
            <w:top w:w="0" w:type="dxa"/>
            <w:left w:w="108" w:type="dxa"/>
            <w:bottom w:w="0" w:type="dxa"/>
            <w:right w:w="108" w:type="dxa"/>
          </w:tblCellMar>
        </w:tblPrEx>
        <w:trPr>
          <w:trHeight w:val="487" w:hRule="atLeast"/>
        </w:trPr>
        <w:tc>
          <w:tcPr>
            <w:tcW w:w="1605" w:type="dxa"/>
            <w:tcBorders>
              <w:top w:val="single" w:color="auto" w:sz="6" w:space="0"/>
              <w:left w:val="single" w:color="auto" w:sz="6" w:space="0"/>
              <w:bottom w:val="single" w:color="auto" w:sz="6" w:space="0"/>
              <w:right w:val="single" w:color="auto" w:sz="6" w:space="0"/>
            </w:tcBorders>
            <w:noWrap/>
            <w:vAlign w:val="center"/>
          </w:tcPr>
          <w:p w14:paraId="609ED160">
            <w:pPr>
              <w:autoSpaceDE w:val="0"/>
              <w:autoSpaceDN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最终投标报价</w:t>
            </w:r>
          </w:p>
          <w:p w14:paraId="0C46C409">
            <w:pPr>
              <w:autoSpaceDE w:val="0"/>
              <w:autoSpaceDN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（满分</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分）</w:t>
            </w:r>
          </w:p>
        </w:tc>
        <w:tc>
          <w:tcPr>
            <w:tcW w:w="973" w:type="dxa"/>
            <w:tcBorders>
              <w:top w:val="single" w:color="auto" w:sz="6" w:space="0"/>
              <w:left w:val="single" w:color="auto" w:sz="6" w:space="0"/>
              <w:bottom w:val="single" w:color="auto" w:sz="6" w:space="0"/>
              <w:right w:val="single" w:color="auto" w:sz="6" w:space="0"/>
            </w:tcBorders>
            <w:noWrap/>
            <w:vAlign w:val="center"/>
          </w:tcPr>
          <w:p w14:paraId="3CCC7FA5">
            <w:pPr>
              <w:autoSpaceDE w:val="0"/>
              <w:autoSpaceDN w:val="0"/>
              <w:spacing w:line="360" w:lineRule="auto"/>
              <w:jc w:val="center"/>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分</w:t>
            </w:r>
          </w:p>
        </w:tc>
        <w:tc>
          <w:tcPr>
            <w:tcW w:w="7361" w:type="dxa"/>
            <w:tcBorders>
              <w:top w:val="single" w:color="auto" w:sz="6" w:space="0"/>
              <w:left w:val="single" w:color="auto" w:sz="6" w:space="0"/>
              <w:bottom w:val="single" w:color="auto" w:sz="6" w:space="0"/>
              <w:right w:val="single" w:color="auto" w:sz="6" w:space="0"/>
            </w:tcBorders>
            <w:noWrap/>
            <w:vAlign w:val="center"/>
          </w:tcPr>
          <w:p w14:paraId="7594EFEC">
            <w:pPr>
              <w:autoSpaceDE w:val="0"/>
              <w:autoSpaceDN w:val="0"/>
              <w:spacing w:line="360" w:lineRule="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低价优先法：</w:t>
            </w:r>
          </w:p>
          <w:p w14:paraId="19422D73">
            <w:pPr>
              <w:autoSpaceDE w:val="0"/>
              <w:autoSpaceDN w:val="0"/>
              <w:spacing w:line="360" w:lineRule="auto"/>
              <w:rPr>
                <w:rFonts w:hint="eastAsia"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满足磋商文件要求且报价最低的磋商报价（</w:t>
            </w:r>
            <w:r>
              <w:rPr>
                <w:rFonts w:hint="eastAsia" w:ascii="仿宋" w:hAnsi="仿宋" w:eastAsia="仿宋" w:cs="仿宋"/>
                <w:color w:val="auto"/>
                <w:szCs w:val="21"/>
                <w:highlight w:val="none"/>
                <w:lang w:val="en-US" w:eastAsia="zh-CN"/>
              </w:rPr>
              <w:t>下浮率最高</w:t>
            </w:r>
            <w:r>
              <w:rPr>
                <w:rFonts w:hint="eastAsia" w:ascii="仿宋" w:hAnsi="仿宋" w:eastAsia="仿宋" w:cs="仿宋"/>
                <w:color w:val="auto"/>
                <w:szCs w:val="21"/>
                <w:highlight w:val="none"/>
                <w:lang w:val="zh-CN"/>
              </w:rPr>
              <w:t>）为磋商基准价，价格分为满分</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分。供应商的价格分统一按照下列公式计算：</w:t>
            </w:r>
          </w:p>
          <w:p w14:paraId="320D8F30">
            <w:pPr>
              <w:autoSpaceDE w:val="0"/>
              <w:autoSpaceDN w:val="0"/>
              <w:spacing w:line="360" w:lineRule="auto"/>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zh-CN"/>
              </w:rPr>
              <w:t>磋商报价得分=（磋商基准价/最后磋商报价）×</w:t>
            </w:r>
            <w:r>
              <w:rPr>
                <w:rFonts w:hint="eastAsia" w:ascii="仿宋" w:hAnsi="仿宋" w:eastAsia="仿宋" w:cs="仿宋"/>
                <w:color w:val="auto"/>
                <w:szCs w:val="21"/>
                <w:highlight w:val="none"/>
                <w:lang w:val="en-US" w:eastAsia="zh-CN"/>
              </w:rPr>
              <w:t>20</w:t>
            </w:r>
            <w:r>
              <w:rPr>
                <w:rFonts w:hint="eastAsia" w:ascii="仿宋" w:hAnsi="仿宋" w:eastAsia="仿宋" w:cs="仿宋"/>
                <w:color w:val="auto"/>
                <w:szCs w:val="21"/>
                <w:highlight w:val="none"/>
                <w:lang w:val="zh-CN"/>
              </w:rPr>
              <w:t>分</w:t>
            </w:r>
          </w:p>
        </w:tc>
      </w:tr>
    </w:tbl>
    <w:p w14:paraId="6EA321B9">
      <w:pPr>
        <w:rPr>
          <w:rFonts w:ascii="仿宋" w:hAnsi="仿宋" w:eastAsia="仿宋" w:cs="仿宋"/>
          <w:color w:val="auto"/>
          <w:highlight w:val="none"/>
        </w:rPr>
      </w:pPr>
    </w:p>
    <w:p w14:paraId="2970D369">
      <w:pPr>
        <w:pStyle w:val="25"/>
        <w:rPr>
          <w:color w:val="auto"/>
        </w:rPr>
      </w:pPr>
    </w:p>
    <w:p w14:paraId="1CA5E6BD">
      <w:pPr>
        <w:rPr>
          <w:color w:val="auto"/>
          <w:highlight w:val="none"/>
        </w:rPr>
      </w:pPr>
      <w:r>
        <w:rPr>
          <w:color w:val="auto"/>
          <w:highlight w:val="none"/>
        </w:rPr>
        <w:br w:type="page"/>
      </w:r>
    </w:p>
    <w:p w14:paraId="4069CF36">
      <w:pPr>
        <w:tabs>
          <w:tab w:val="left" w:pos="6480"/>
        </w:tabs>
        <w:autoSpaceDE w:val="0"/>
        <w:autoSpaceDN w:val="0"/>
        <w:spacing w:line="360" w:lineRule="auto"/>
        <w:ind w:left="875" w:right="-315" w:hanging="1049"/>
        <w:rPr>
          <w:rFonts w:ascii="宋体" w:hAnsi="宋体" w:cs="宋体"/>
          <w:color w:val="auto"/>
          <w:szCs w:val="21"/>
          <w:highlight w:val="none"/>
          <w:lang w:val="zh-CN"/>
        </w:rPr>
      </w:pPr>
      <w:r>
        <w:rPr>
          <w:rFonts w:hint="eastAsia" w:ascii="宋体" w:hAnsi="宋体" w:cs="宋体"/>
          <w:color w:val="auto"/>
          <w:szCs w:val="21"/>
          <w:highlight w:val="none"/>
          <w:lang w:val="en-US" w:eastAsia="zh-CN"/>
        </w:rPr>
        <w:t>3.2</w:t>
      </w:r>
      <w:r>
        <w:rPr>
          <w:rFonts w:hint="eastAsia" w:ascii="宋体" w:hAnsi="宋体" w:cs="宋体"/>
          <w:color w:val="auto"/>
          <w:szCs w:val="21"/>
          <w:highlight w:val="none"/>
          <w:lang w:val="zh-CN"/>
        </w:rPr>
        <w:t>技术部分</w:t>
      </w:r>
    </w:p>
    <w:tbl>
      <w:tblPr>
        <w:tblStyle w:val="27"/>
        <w:tblpPr w:leftFromText="180" w:rightFromText="180" w:vertAnchor="text" w:horzAnchor="page" w:tblpX="1168" w:tblpY="311"/>
        <w:tblOverlap w:val="never"/>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80"/>
        <w:gridCol w:w="1504"/>
        <w:gridCol w:w="6775"/>
      </w:tblGrid>
      <w:tr w14:paraId="32016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6" w:type="pct"/>
            <w:vAlign w:val="center"/>
          </w:tcPr>
          <w:p w14:paraId="0D917C78">
            <w:pPr>
              <w:pStyle w:val="39"/>
              <w:spacing w:line="320" w:lineRule="exact"/>
              <w:textAlignment w:val="auto"/>
              <w:rPr>
                <w:rFonts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条款号</w:t>
            </w:r>
          </w:p>
        </w:tc>
        <w:tc>
          <w:tcPr>
            <w:tcW w:w="435" w:type="pct"/>
            <w:vAlign w:val="center"/>
          </w:tcPr>
          <w:p w14:paraId="0BB14F65">
            <w:pPr>
              <w:pStyle w:val="39"/>
              <w:spacing w:line="320" w:lineRule="exact"/>
              <w:textAlignment w:val="auto"/>
              <w:rPr>
                <w:rFonts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评分因素</w:t>
            </w:r>
          </w:p>
        </w:tc>
        <w:tc>
          <w:tcPr>
            <w:tcW w:w="4097" w:type="pct"/>
            <w:gridSpan w:val="2"/>
            <w:vAlign w:val="center"/>
          </w:tcPr>
          <w:p w14:paraId="2D0C0B8E">
            <w:pPr>
              <w:pStyle w:val="39"/>
              <w:spacing w:line="320" w:lineRule="exact"/>
              <w:textAlignment w:val="auto"/>
              <w:rPr>
                <w:rFonts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评分标准</w:t>
            </w:r>
          </w:p>
        </w:tc>
      </w:tr>
      <w:tr w14:paraId="4F92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352" w:hRule="atLeast"/>
        </w:trPr>
        <w:tc>
          <w:tcPr>
            <w:tcW w:w="466" w:type="pct"/>
            <w:vMerge w:val="restart"/>
            <w:vAlign w:val="center"/>
          </w:tcPr>
          <w:p w14:paraId="2ED15BF5">
            <w:pPr>
              <w:pStyle w:val="39"/>
              <w:spacing w:line="320" w:lineRule="exact"/>
              <w:textAlignment w:val="auto"/>
              <w:rPr>
                <w:rFonts w:hint="default" w:ascii="仿宋" w:hAnsi="仿宋" w:eastAsia="仿宋" w:cs="仿宋"/>
                <w:b w:val="0"/>
                <w:bCs w:val="0"/>
                <w:color w:val="auto"/>
                <w:sz w:val="22"/>
                <w:szCs w:val="22"/>
                <w:highlight w:val="none"/>
                <w:lang w:val="en-US" w:eastAsia="zh-CN"/>
              </w:rPr>
            </w:pPr>
            <w:r>
              <w:rPr>
                <w:rFonts w:hint="eastAsia" w:ascii="宋体" w:hAnsi="宋体" w:cs="宋体"/>
                <w:color w:val="auto"/>
                <w:szCs w:val="21"/>
                <w:highlight w:val="none"/>
                <w:lang w:val="en-US" w:eastAsia="zh-CN"/>
              </w:rPr>
              <w:t>3.2</w:t>
            </w:r>
            <w:r>
              <w:rPr>
                <w:rFonts w:hint="eastAsia" w:ascii="仿宋" w:hAnsi="仿宋" w:eastAsia="仿宋" w:cs="仿宋"/>
                <w:b w:val="0"/>
                <w:bCs w:val="0"/>
                <w:color w:val="auto"/>
                <w:sz w:val="22"/>
                <w:szCs w:val="22"/>
                <w:highlight w:val="none"/>
                <w:lang w:val="en-US" w:eastAsia="zh-CN"/>
              </w:rPr>
              <w:t>.1</w:t>
            </w:r>
          </w:p>
        </w:tc>
        <w:tc>
          <w:tcPr>
            <w:tcW w:w="435" w:type="pct"/>
            <w:vMerge w:val="restart"/>
            <w:vAlign w:val="center"/>
          </w:tcPr>
          <w:p w14:paraId="4B45EE31">
            <w:pPr>
              <w:pStyle w:val="39"/>
              <w:spacing w:line="320" w:lineRule="exact"/>
              <w:textAlignment w:val="auto"/>
              <w:rPr>
                <w:rFonts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技术部分评审（70）</w:t>
            </w:r>
          </w:p>
        </w:tc>
        <w:tc>
          <w:tcPr>
            <w:tcW w:w="744" w:type="pct"/>
            <w:vAlign w:val="center"/>
          </w:tcPr>
          <w:p w14:paraId="7DDD91EC">
            <w:pPr>
              <w:jc w:val="left"/>
              <w:rPr>
                <w:rFonts w:ascii="仿宋" w:hAnsi="仿宋" w:eastAsia="仿宋" w:cs="仿宋"/>
                <w:b w:val="0"/>
                <w:bCs w:val="0"/>
                <w:color w:val="auto"/>
                <w:kern w:val="2"/>
                <w:sz w:val="21"/>
                <w:szCs w:val="21"/>
                <w:highlight w:val="none"/>
                <w:lang w:val="en-US" w:eastAsia="zh-CN" w:bidi="ar-SA"/>
              </w:rPr>
            </w:pPr>
            <w:r>
              <w:rPr>
                <w:rFonts w:ascii="仿宋" w:hAnsi="仿宋" w:eastAsia="仿宋" w:cs="仿宋"/>
                <w:b w:val="0"/>
                <w:bCs w:val="0"/>
                <w:color w:val="auto"/>
                <w:kern w:val="2"/>
                <w:sz w:val="21"/>
                <w:szCs w:val="21"/>
                <w:highlight w:val="none"/>
                <w:lang w:val="en-US" w:eastAsia="zh-CN" w:bidi="ar-SA"/>
              </w:rPr>
              <w:t xml:space="preserve">招标代理服务方案评审（满分 </w:t>
            </w:r>
            <w:r>
              <w:rPr>
                <w:rFonts w:hint="eastAsia" w:ascii="仿宋" w:hAnsi="仿宋" w:eastAsia="仿宋" w:cs="仿宋"/>
                <w:b w:val="0"/>
                <w:bCs w:val="0"/>
                <w:color w:val="auto"/>
                <w:kern w:val="2"/>
                <w:sz w:val="21"/>
                <w:szCs w:val="21"/>
                <w:highlight w:val="none"/>
                <w:lang w:val="en-US" w:eastAsia="zh-CN" w:bidi="ar-SA"/>
              </w:rPr>
              <w:t>30</w:t>
            </w:r>
            <w:r>
              <w:rPr>
                <w:rFonts w:ascii="仿宋" w:hAnsi="仿宋" w:eastAsia="仿宋" w:cs="仿宋"/>
                <w:b w:val="0"/>
                <w:bCs w:val="0"/>
                <w:color w:val="auto"/>
                <w:kern w:val="2"/>
                <w:sz w:val="21"/>
                <w:szCs w:val="21"/>
                <w:highlight w:val="none"/>
                <w:lang w:val="en-US" w:eastAsia="zh-CN" w:bidi="ar-SA"/>
              </w:rPr>
              <w:t>分）</w:t>
            </w:r>
          </w:p>
        </w:tc>
        <w:tc>
          <w:tcPr>
            <w:tcW w:w="3353" w:type="pct"/>
            <w:vAlign w:val="center"/>
          </w:tcPr>
          <w:p w14:paraId="73FA8A4A">
            <w:pPr>
              <w:jc w:val="left"/>
              <w:rPr>
                <w:rFonts w:ascii="仿宋" w:hAnsi="仿宋" w:eastAsia="仿宋" w:cs="仿宋"/>
                <w:b w:val="0"/>
                <w:bCs w:val="0"/>
                <w:color w:val="auto"/>
                <w:sz w:val="21"/>
                <w:szCs w:val="21"/>
                <w:highlight w:val="none"/>
              </w:rPr>
            </w:pPr>
            <w:r>
              <w:rPr>
                <w:rFonts w:ascii="仿宋" w:hAnsi="仿宋" w:eastAsia="仿宋" w:cs="仿宋"/>
                <w:b w:val="0"/>
                <w:bCs w:val="0"/>
                <w:color w:val="auto"/>
                <w:sz w:val="21"/>
                <w:szCs w:val="21"/>
                <w:highlight w:val="none"/>
              </w:rPr>
              <w:t xml:space="preserve">（1）招标代理服务工作方案针对性强，内容具体，招标管控重点、 难点理解准确、描述完整，分析深入透彻，充分体现本项目招标  特点的得 </w:t>
            </w:r>
            <w:r>
              <w:rPr>
                <w:rFonts w:hint="eastAsia" w:ascii="仿宋" w:hAnsi="仿宋" w:eastAsia="仿宋" w:cs="仿宋"/>
                <w:b w:val="0"/>
                <w:bCs w:val="0"/>
                <w:color w:val="auto"/>
                <w:sz w:val="21"/>
                <w:szCs w:val="21"/>
                <w:highlight w:val="none"/>
                <w:lang w:val="en-US" w:eastAsia="zh-CN"/>
              </w:rPr>
              <w:t>21</w:t>
            </w:r>
            <w:r>
              <w:rPr>
                <w:rFonts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30</w:t>
            </w:r>
            <w:r>
              <w:rPr>
                <w:rFonts w:ascii="仿宋" w:hAnsi="仿宋" w:eastAsia="仿宋" w:cs="仿宋"/>
                <w:b w:val="0"/>
                <w:bCs w:val="0"/>
                <w:color w:val="auto"/>
                <w:sz w:val="21"/>
                <w:szCs w:val="21"/>
                <w:highlight w:val="none"/>
              </w:rPr>
              <w:t xml:space="preserve"> 分；</w:t>
            </w:r>
          </w:p>
          <w:p w14:paraId="799D0E4F">
            <w:pPr>
              <w:jc w:val="left"/>
              <w:rPr>
                <w:rFonts w:ascii="仿宋" w:hAnsi="仿宋" w:eastAsia="仿宋" w:cs="仿宋"/>
                <w:b w:val="0"/>
                <w:bCs w:val="0"/>
                <w:color w:val="auto"/>
                <w:sz w:val="21"/>
                <w:szCs w:val="21"/>
                <w:highlight w:val="none"/>
              </w:rPr>
            </w:pPr>
            <w:r>
              <w:rPr>
                <w:rFonts w:ascii="仿宋" w:hAnsi="仿宋" w:eastAsia="仿宋" w:cs="仿宋"/>
                <w:b w:val="0"/>
                <w:bCs w:val="0"/>
                <w:color w:val="auto"/>
                <w:sz w:val="21"/>
                <w:szCs w:val="21"/>
                <w:highlight w:val="none"/>
              </w:rPr>
              <w:t xml:space="preserve">（2）招标代理服务工作方案针对性良好，内容可行，重点、难点 理解基本准确、描述基本完整，分析基本到位，考虑可行的得 </w:t>
            </w:r>
            <w:r>
              <w:rPr>
                <w:rFonts w:hint="eastAsia" w:ascii="仿宋" w:hAnsi="仿宋" w:eastAsia="仿宋" w:cs="仿宋"/>
                <w:b w:val="0"/>
                <w:bCs w:val="0"/>
                <w:color w:val="auto"/>
                <w:sz w:val="21"/>
                <w:szCs w:val="21"/>
                <w:highlight w:val="none"/>
                <w:lang w:val="en-US" w:eastAsia="zh-CN"/>
              </w:rPr>
              <w:t>11</w:t>
            </w:r>
            <w:r>
              <w:rPr>
                <w:rFonts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20</w:t>
            </w:r>
            <w:r>
              <w:rPr>
                <w:rFonts w:ascii="仿宋" w:hAnsi="仿宋" w:eastAsia="仿宋" w:cs="仿宋"/>
                <w:b w:val="0"/>
                <w:bCs w:val="0"/>
                <w:color w:val="auto"/>
                <w:sz w:val="21"/>
                <w:szCs w:val="21"/>
                <w:highlight w:val="none"/>
              </w:rPr>
              <w:t xml:space="preserve"> 分；</w:t>
            </w:r>
          </w:p>
          <w:p w14:paraId="7CF91C50">
            <w:pPr>
              <w:jc w:val="left"/>
              <w:rPr>
                <w:rFonts w:ascii="仿宋" w:hAnsi="仿宋" w:eastAsia="仿宋" w:cs="仿宋"/>
                <w:b w:val="0"/>
                <w:bCs w:val="0"/>
                <w:color w:val="auto"/>
                <w:sz w:val="21"/>
                <w:szCs w:val="21"/>
                <w:highlight w:val="none"/>
              </w:rPr>
            </w:pPr>
            <w:r>
              <w:rPr>
                <w:rFonts w:ascii="仿宋" w:hAnsi="仿宋" w:eastAsia="仿宋" w:cs="仿宋"/>
                <w:b w:val="0"/>
                <w:bCs w:val="0"/>
                <w:color w:val="auto"/>
                <w:sz w:val="21"/>
                <w:szCs w:val="21"/>
                <w:highlight w:val="none"/>
              </w:rPr>
              <w:t>（3）招标代理服务工作方案针对性差，内容宽泛，重点、难点理解不准确、描述不完整，考虑不周全的得 1-</w:t>
            </w:r>
            <w:r>
              <w:rPr>
                <w:rFonts w:hint="eastAsia" w:ascii="仿宋" w:hAnsi="仿宋" w:eastAsia="仿宋" w:cs="仿宋"/>
                <w:b w:val="0"/>
                <w:bCs w:val="0"/>
                <w:color w:val="auto"/>
                <w:sz w:val="21"/>
                <w:szCs w:val="21"/>
                <w:highlight w:val="none"/>
                <w:lang w:val="en-US" w:eastAsia="zh-CN"/>
              </w:rPr>
              <w:t>10</w:t>
            </w:r>
            <w:r>
              <w:rPr>
                <w:rFonts w:ascii="仿宋" w:hAnsi="仿宋" w:eastAsia="仿宋" w:cs="仿宋"/>
                <w:b w:val="0"/>
                <w:bCs w:val="0"/>
                <w:color w:val="auto"/>
                <w:sz w:val="21"/>
                <w:szCs w:val="21"/>
                <w:highlight w:val="none"/>
              </w:rPr>
              <w:t xml:space="preserve"> 分；</w:t>
            </w:r>
          </w:p>
          <w:p w14:paraId="19EA65D9">
            <w:pPr>
              <w:jc w:val="left"/>
              <w:rPr>
                <w:rFonts w:ascii="仿宋" w:hAnsi="仿宋" w:eastAsia="仿宋" w:cs="仿宋"/>
                <w:b w:val="0"/>
                <w:bCs w:val="0"/>
                <w:color w:val="auto"/>
                <w:sz w:val="21"/>
                <w:szCs w:val="21"/>
                <w:highlight w:val="none"/>
              </w:rPr>
            </w:pPr>
            <w:r>
              <w:rPr>
                <w:rFonts w:ascii="仿宋" w:hAnsi="仿宋" w:eastAsia="仿宋" w:cs="仿宋"/>
                <w:b w:val="0"/>
                <w:bCs w:val="0"/>
                <w:color w:val="auto"/>
                <w:sz w:val="21"/>
                <w:szCs w:val="21"/>
                <w:highlight w:val="none"/>
              </w:rPr>
              <w:t>（4）无服务方案的得 0 分。</w:t>
            </w:r>
          </w:p>
        </w:tc>
      </w:tr>
      <w:tr w14:paraId="7A33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737" w:hRule="atLeast"/>
        </w:trPr>
        <w:tc>
          <w:tcPr>
            <w:tcW w:w="466" w:type="pct"/>
            <w:vMerge w:val="continue"/>
            <w:vAlign w:val="center"/>
          </w:tcPr>
          <w:p w14:paraId="5E1639E7">
            <w:pPr>
              <w:pStyle w:val="39"/>
              <w:spacing w:line="320" w:lineRule="exact"/>
              <w:textAlignment w:val="auto"/>
              <w:rPr>
                <w:rFonts w:ascii="仿宋" w:hAnsi="仿宋" w:eastAsia="仿宋" w:cs="仿宋"/>
                <w:b w:val="0"/>
                <w:bCs w:val="0"/>
                <w:color w:val="auto"/>
                <w:sz w:val="22"/>
                <w:szCs w:val="22"/>
                <w:highlight w:val="none"/>
              </w:rPr>
            </w:pPr>
          </w:p>
        </w:tc>
        <w:tc>
          <w:tcPr>
            <w:tcW w:w="435" w:type="pct"/>
            <w:vMerge w:val="continue"/>
            <w:vAlign w:val="center"/>
          </w:tcPr>
          <w:p w14:paraId="032F5908">
            <w:pPr>
              <w:pStyle w:val="39"/>
              <w:spacing w:line="320" w:lineRule="exact"/>
              <w:textAlignment w:val="auto"/>
              <w:rPr>
                <w:rFonts w:ascii="仿宋" w:hAnsi="仿宋" w:eastAsia="仿宋" w:cs="仿宋"/>
                <w:b w:val="0"/>
                <w:bCs w:val="0"/>
                <w:color w:val="auto"/>
                <w:kern w:val="2"/>
                <w:sz w:val="21"/>
                <w:szCs w:val="21"/>
                <w:highlight w:val="none"/>
                <w:lang w:val="en-US" w:eastAsia="zh-CN" w:bidi="ar-SA"/>
              </w:rPr>
            </w:pPr>
          </w:p>
        </w:tc>
        <w:tc>
          <w:tcPr>
            <w:tcW w:w="744" w:type="pct"/>
            <w:vAlign w:val="center"/>
          </w:tcPr>
          <w:p w14:paraId="7EE5491A">
            <w:pPr>
              <w:pStyle w:val="109"/>
              <w:tabs>
                <w:tab w:val="left" w:pos="1260"/>
              </w:tabs>
              <w:spacing w:before="78" w:line="330" w:lineRule="auto"/>
              <w:ind w:left="13" w:leftChars="0" w:right="-49" w:rightChars="0" w:hanging="13" w:firstLineChars="0"/>
              <w:jc w:val="both"/>
              <w:rPr>
                <w:rFonts w:hint="eastAsia" w:ascii="仿宋" w:hAnsi="仿宋" w:eastAsia="仿宋" w:cs="仿宋"/>
                <w:b w:val="0"/>
                <w:bCs w:val="0"/>
                <w:color w:val="auto"/>
                <w:kern w:val="2"/>
                <w:sz w:val="21"/>
                <w:szCs w:val="21"/>
                <w:highlight w:val="none"/>
                <w:lang w:val="en-US" w:eastAsia="zh-CN" w:bidi="ar-SA"/>
              </w:rPr>
            </w:pPr>
            <w:r>
              <w:rPr>
                <w:rFonts w:hint="eastAsia" w:ascii="仿宋" w:hAnsi="仿宋" w:eastAsia="仿宋" w:cs="仿宋"/>
                <w:b w:val="0"/>
                <w:bCs w:val="0"/>
                <w:color w:val="auto"/>
                <w:kern w:val="2"/>
                <w:sz w:val="21"/>
                <w:szCs w:val="21"/>
                <w:highlight w:val="none"/>
                <w:lang w:val="en-US" w:eastAsia="zh-CN" w:bidi="ar-SA"/>
              </w:rPr>
              <w:t>服务质量保证措施及承诺评审（满分12分）</w:t>
            </w:r>
          </w:p>
        </w:tc>
        <w:tc>
          <w:tcPr>
            <w:tcW w:w="3353" w:type="pct"/>
            <w:vAlign w:val="center"/>
          </w:tcPr>
          <w:p w14:paraId="7799D858">
            <w:pPr>
              <w:jc w:val="both"/>
              <w:rPr>
                <w:rFonts w:ascii="仿宋" w:hAnsi="仿宋" w:eastAsia="仿宋" w:cs="仿宋"/>
                <w:b w:val="0"/>
                <w:bCs w:val="0"/>
                <w:color w:val="auto"/>
                <w:sz w:val="21"/>
                <w:szCs w:val="21"/>
                <w:highlight w:val="none"/>
              </w:rPr>
            </w:pPr>
            <w:r>
              <w:rPr>
                <w:rFonts w:ascii="仿宋" w:hAnsi="仿宋" w:eastAsia="仿宋" w:cs="仿宋"/>
                <w:b w:val="0"/>
                <w:bCs w:val="0"/>
                <w:color w:val="auto"/>
                <w:sz w:val="21"/>
                <w:szCs w:val="21"/>
                <w:highlight w:val="none"/>
              </w:rPr>
              <w:t xml:space="preserve">（1）服务质量保证措施及承诺内容具体，切实可行，并附有具体 违约承诺的得 </w:t>
            </w:r>
            <w:r>
              <w:rPr>
                <w:rFonts w:hint="eastAsia" w:ascii="仿宋" w:hAnsi="仿宋" w:eastAsia="仿宋" w:cs="仿宋"/>
                <w:b w:val="0"/>
                <w:bCs w:val="0"/>
                <w:color w:val="auto"/>
                <w:sz w:val="21"/>
                <w:szCs w:val="21"/>
                <w:highlight w:val="none"/>
                <w:lang w:val="en-US" w:eastAsia="zh-CN"/>
              </w:rPr>
              <w:t>9</w:t>
            </w:r>
            <w:r>
              <w:rPr>
                <w:rFonts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12</w:t>
            </w:r>
            <w:r>
              <w:rPr>
                <w:rFonts w:ascii="仿宋" w:hAnsi="仿宋" w:eastAsia="仿宋" w:cs="仿宋"/>
                <w:b w:val="0"/>
                <w:bCs w:val="0"/>
                <w:color w:val="auto"/>
                <w:sz w:val="21"/>
                <w:szCs w:val="21"/>
                <w:highlight w:val="none"/>
              </w:rPr>
              <w:t>分；</w:t>
            </w:r>
          </w:p>
          <w:p w14:paraId="0047E72C">
            <w:pPr>
              <w:jc w:val="both"/>
              <w:rPr>
                <w:rFonts w:ascii="仿宋" w:hAnsi="仿宋" w:eastAsia="仿宋" w:cs="仿宋"/>
                <w:b w:val="0"/>
                <w:bCs w:val="0"/>
                <w:color w:val="auto"/>
                <w:sz w:val="21"/>
                <w:szCs w:val="21"/>
                <w:highlight w:val="none"/>
              </w:rPr>
            </w:pPr>
            <w:r>
              <w:rPr>
                <w:rFonts w:ascii="仿宋" w:hAnsi="仿宋" w:eastAsia="仿宋" w:cs="仿宋"/>
                <w:b w:val="0"/>
                <w:bCs w:val="0"/>
                <w:color w:val="auto"/>
                <w:sz w:val="21"/>
                <w:szCs w:val="21"/>
                <w:highlight w:val="none"/>
              </w:rPr>
              <w:t xml:space="preserve">（2）服务质量保证措施及承诺内容空洞，有具体违约承诺的得 </w:t>
            </w:r>
            <w:r>
              <w:rPr>
                <w:rFonts w:hint="eastAsia" w:ascii="仿宋" w:hAnsi="仿宋" w:eastAsia="仿宋" w:cs="仿宋"/>
                <w:b w:val="0"/>
                <w:bCs w:val="0"/>
                <w:color w:val="auto"/>
                <w:sz w:val="21"/>
                <w:szCs w:val="21"/>
                <w:highlight w:val="none"/>
                <w:lang w:val="en-US" w:eastAsia="zh-CN"/>
              </w:rPr>
              <w:t>5</w:t>
            </w:r>
            <w:r>
              <w:rPr>
                <w:rFonts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8</w:t>
            </w:r>
            <w:r>
              <w:rPr>
                <w:rFonts w:ascii="仿宋" w:hAnsi="仿宋" w:eastAsia="仿宋" w:cs="仿宋"/>
                <w:b w:val="0"/>
                <w:bCs w:val="0"/>
                <w:color w:val="auto"/>
                <w:sz w:val="21"/>
                <w:szCs w:val="21"/>
                <w:highlight w:val="none"/>
              </w:rPr>
              <w:t>分；</w:t>
            </w:r>
          </w:p>
          <w:p w14:paraId="5134FA33">
            <w:pPr>
              <w:jc w:val="both"/>
              <w:rPr>
                <w:rFonts w:ascii="仿宋" w:hAnsi="仿宋" w:eastAsia="仿宋" w:cs="仿宋"/>
                <w:b w:val="0"/>
                <w:bCs w:val="0"/>
                <w:color w:val="auto"/>
                <w:sz w:val="21"/>
                <w:szCs w:val="21"/>
                <w:highlight w:val="none"/>
              </w:rPr>
            </w:pPr>
            <w:r>
              <w:rPr>
                <w:rFonts w:ascii="仿宋" w:hAnsi="仿宋" w:eastAsia="仿宋" w:cs="仿宋"/>
                <w:b w:val="0"/>
                <w:bCs w:val="0"/>
                <w:color w:val="auto"/>
                <w:sz w:val="21"/>
                <w:szCs w:val="21"/>
                <w:highlight w:val="none"/>
              </w:rPr>
              <w:t>（3）服务质量保证措施及承诺内容空洞，违约承诺不具体的得 1-</w:t>
            </w:r>
            <w:r>
              <w:rPr>
                <w:rFonts w:hint="eastAsia" w:ascii="仿宋" w:hAnsi="仿宋" w:eastAsia="仿宋" w:cs="仿宋"/>
                <w:b w:val="0"/>
                <w:bCs w:val="0"/>
                <w:color w:val="auto"/>
                <w:sz w:val="21"/>
                <w:szCs w:val="21"/>
                <w:highlight w:val="none"/>
                <w:lang w:val="en-US" w:eastAsia="zh-CN"/>
              </w:rPr>
              <w:t>4</w:t>
            </w:r>
            <w:r>
              <w:rPr>
                <w:rFonts w:ascii="仿宋" w:hAnsi="仿宋" w:eastAsia="仿宋" w:cs="仿宋"/>
                <w:b w:val="0"/>
                <w:bCs w:val="0"/>
                <w:color w:val="auto"/>
                <w:sz w:val="21"/>
                <w:szCs w:val="21"/>
                <w:highlight w:val="none"/>
              </w:rPr>
              <w:t xml:space="preserve"> 分；</w:t>
            </w:r>
          </w:p>
          <w:p w14:paraId="35BFD4F0">
            <w:pPr>
              <w:jc w:val="both"/>
              <w:rPr>
                <w:rFonts w:hint="eastAsia"/>
                <w:color w:val="auto"/>
                <w:lang w:val="en-US" w:eastAsia="zh-CN"/>
              </w:rPr>
            </w:pPr>
            <w:r>
              <w:rPr>
                <w:rFonts w:ascii="仿宋" w:hAnsi="仿宋" w:eastAsia="仿宋" w:cs="仿宋"/>
                <w:b w:val="0"/>
                <w:bCs w:val="0"/>
                <w:color w:val="auto"/>
                <w:sz w:val="21"/>
                <w:szCs w:val="21"/>
                <w:highlight w:val="none"/>
              </w:rPr>
              <w:t>（4）无服务质量保证措施及承诺得 0 分。</w:t>
            </w:r>
          </w:p>
        </w:tc>
      </w:tr>
      <w:tr w14:paraId="3D8B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616" w:hRule="atLeast"/>
        </w:trPr>
        <w:tc>
          <w:tcPr>
            <w:tcW w:w="466" w:type="pct"/>
            <w:vMerge w:val="continue"/>
            <w:vAlign w:val="center"/>
          </w:tcPr>
          <w:p w14:paraId="2F48EDA2">
            <w:pPr>
              <w:pStyle w:val="39"/>
              <w:spacing w:line="320" w:lineRule="exact"/>
              <w:textAlignment w:val="auto"/>
              <w:rPr>
                <w:rFonts w:ascii="仿宋" w:hAnsi="仿宋" w:eastAsia="仿宋" w:cs="仿宋"/>
                <w:b w:val="0"/>
                <w:bCs w:val="0"/>
                <w:color w:val="auto"/>
                <w:sz w:val="22"/>
                <w:szCs w:val="22"/>
                <w:highlight w:val="none"/>
              </w:rPr>
            </w:pPr>
          </w:p>
        </w:tc>
        <w:tc>
          <w:tcPr>
            <w:tcW w:w="435" w:type="pct"/>
            <w:vMerge w:val="continue"/>
            <w:vAlign w:val="center"/>
          </w:tcPr>
          <w:p w14:paraId="7F8BAE4C">
            <w:pPr>
              <w:pStyle w:val="39"/>
              <w:spacing w:line="320" w:lineRule="exact"/>
              <w:textAlignment w:val="auto"/>
              <w:rPr>
                <w:rFonts w:ascii="仿宋" w:hAnsi="仿宋" w:eastAsia="仿宋" w:cs="仿宋"/>
                <w:b w:val="0"/>
                <w:bCs w:val="0"/>
                <w:color w:val="auto"/>
                <w:sz w:val="22"/>
                <w:szCs w:val="22"/>
                <w:highlight w:val="none"/>
              </w:rPr>
            </w:pPr>
          </w:p>
        </w:tc>
        <w:tc>
          <w:tcPr>
            <w:tcW w:w="744" w:type="pct"/>
            <w:shd w:val="clear" w:color="auto" w:fill="auto"/>
            <w:vAlign w:val="center"/>
          </w:tcPr>
          <w:p w14:paraId="541C1A17">
            <w:pPr>
              <w:jc w:val="both"/>
              <w:rPr>
                <w:rFonts w:hint="default" w:ascii="仿宋" w:hAnsi="仿宋" w:eastAsia="仿宋" w:cs="仿宋"/>
                <w:b w:val="0"/>
                <w:bCs w:val="0"/>
                <w:color w:val="auto"/>
                <w:sz w:val="21"/>
                <w:szCs w:val="21"/>
                <w:highlight w:val="none"/>
                <w:lang w:val="en-US" w:eastAsia="zh-CN"/>
              </w:rPr>
            </w:pPr>
            <w:r>
              <w:rPr>
                <w:rFonts w:hint="default" w:ascii="仿宋" w:hAnsi="仿宋" w:eastAsia="仿宋" w:cs="仿宋"/>
                <w:b w:val="0"/>
                <w:bCs w:val="0"/>
                <w:color w:val="auto"/>
                <w:sz w:val="21"/>
                <w:szCs w:val="21"/>
                <w:highlight w:val="none"/>
                <w:lang w:val="en-US" w:eastAsia="zh-CN"/>
              </w:rPr>
              <w:t>廉洁管理措施及承诺</w:t>
            </w:r>
          </w:p>
          <w:p w14:paraId="423A1D2D">
            <w:pPr>
              <w:jc w:val="both"/>
              <w:rPr>
                <w:rFonts w:hint="default" w:ascii="宋体" w:hAnsi="宋体" w:eastAsia="宋体" w:cs="宋体"/>
                <w:color w:val="auto"/>
                <w:kern w:val="2"/>
                <w:sz w:val="24"/>
                <w:szCs w:val="24"/>
                <w:highlight w:val="none"/>
                <w:lang w:val="en-US" w:eastAsia="zh-CN" w:bidi="ar-SA"/>
              </w:rPr>
            </w:pPr>
            <w:r>
              <w:rPr>
                <w:rFonts w:hint="default" w:ascii="仿宋" w:hAnsi="仿宋" w:eastAsia="仿宋" w:cs="仿宋"/>
                <w:b w:val="0"/>
                <w:bCs w:val="0"/>
                <w:color w:val="auto"/>
                <w:sz w:val="21"/>
                <w:szCs w:val="21"/>
                <w:highlight w:val="none"/>
                <w:lang w:val="en-US" w:eastAsia="zh-CN"/>
              </w:rPr>
              <w:t>（满分</w:t>
            </w:r>
            <w:r>
              <w:rPr>
                <w:rFonts w:hint="eastAsia" w:ascii="仿宋" w:hAnsi="仿宋" w:eastAsia="仿宋" w:cs="仿宋"/>
                <w:b w:val="0"/>
                <w:bCs w:val="0"/>
                <w:color w:val="auto"/>
                <w:sz w:val="21"/>
                <w:szCs w:val="21"/>
                <w:highlight w:val="none"/>
                <w:lang w:val="en-US" w:eastAsia="zh-CN"/>
              </w:rPr>
              <w:t>8</w:t>
            </w:r>
            <w:r>
              <w:rPr>
                <w:rFonts w:hint="default" w:ascii="仿宋" w:hAnsi="仿宋" w:eastAsia="仿宋" w:cs="仿宋"/>
                <w:b w:val="0"/>
                <w:bCs w:val="0"/>
                <w:color w:val="auto"/>
                <w:sz w:val="21"/>
                <w:szCs w:val="21"/>
                <w:highlight w:val="none"/>
                <w:lang w:val="en-US" w:eastAsia="zh-CN"/>
              </w:rPr>
              <w:t>分）</w:t>
            </w:r>
          </w:p>
        </w:tc>
        <w:tc>
          <w:tcPr>
            <w:tcW w:w="3353" w:type="pct"/>
            <w:shd w:val="clear" w:color="auto" w:fill="auto"/>
            <w:vAlign w:val="center"/>
          </w:tcPr>
          <w:p w14:paraId="237BEEC1">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（1）廉洁管理措施内容具体，切实可行，并附有具体廉洁违约承诺的，得6-8分；</w:t>
            </w:r>
          </w:p>
          <w:p w14:paraId="133FFDD1">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（2）廉洁管理措施内容一般，有具体违约承诺的，得3-5分；</w:t>
            </w:r>
          </w:p>
          <w:p w14:paraId="719CF507">
            <w:pPr>
              <w:jc w:val="left"/>
              <w:rPr>
                <w:rFonts w:hint="eastAsia"/>
                <w:color w:val="auto"/>
                <w:highlight w:val="none"/>
                <w:lang w:val="en-US" w:eastAsia="zh-CN"/>
              </w:rPr>
            </w:pPr>
            <w:r>
              <w:rPr>
                <w:rFonts w:hint="eastAsia" w:ascii="仿宋" w:hAnsi="仿宋" w:eastAsia="仿宋" w:cs="仿宋"/>
                <w:b w:val="0"/>
                <w:bCs w:val="0"/>
                <w:color w:val="auto"/>
                <w:sz w:val="21"/>
                <w:szCs w:val="21"/>
                <w:highlight w:val="none"/>
                <w:lang w:val="en-US" w:eastAsia="zh-CN"/>
              </w:rPr>
              <w:t>（3）廉洁管理措施内容空洞，且无具体违约承诺的，得0-2分。</w:t>
            </w:r>
          </w:p>
        </w:tc>
      </w:tr>
      <w:tr w14:paraId="030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343" w:hRule="atLeast"/>
        </w:trPr>
        <w:tc>
          <w:tcPr>
            <w:tcW w:w="466" w:type="pct"/>
            <w:vMerge w:val="continue"/>
            <w:vAlign w:val="center"/>
          </w:tcPr>
          <w:p w14:paraId="38618AD9">
            <w:pPr>
              <w:pStyle w:val="39"/>
              <w:spacing w:line="320" w:lineRule="exact"/>
              <w:textAlignment w:val="auto"/>
              <w:rPr>
                <w:rFonts w:ascii="仿宋" w:hAnsi="仿宋" w:eastAsia="仿宋" w:cs="仿宋"/>
                <w:b w:val="0"/>
                <w:bCs w:val="0"/>
                <w:color w:val="auto"/>
                <w:sz w:val="22"/>
                <w:szCs w:val="22"/>
                <w:highlight w:val="none"/>
              </w:rPr>
            </w:pPr>
          </w:p>
        </w:tc>
        <w:tc>
          <w:tcPr>
            <w:tcW w:w="435" w:type="pct"/>
            <w:vMerge w:val="continue"/>
            <w:vAlign w:val="center"/>
          </w:tcPr>
          <w:p w14:paraId="3ACE6133">
            <w:pPr>
              <w:pStyle w:val="39"/>
              <w:spacing w:line="320" w:lineRule="exact"/>
              <w:textAlignment w:val="auto"/>
              <w:rPr>
                <w:rFonts w:ascii="仿宋" w:hAnsi="仿宋" w:eastAsia="仿宋" w:cs="仿宋"/>
                <w:b w:val="0"/>
                <w:bCs w:val="0"/>
                <w:color w:val="auto"/>
                <w:sz w:val="22"/>
                <w:szCs w:val="22"/>
                <w:highlight w:val="none"/>
              </w:rPr>
            </w:pPr>
          </w:p>
        </w:tc>
        <w:tc>
          <w:tcPr>
            <w:tcW w:w="744" w:type="pct"/>
            <w:vAlign w:val="center"/>
          </w:tcPr>
          <w:p w14:paraId="3963886D">
            <w:pPr>
              <w:jc w:val="center"/>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固定办公场所（满分5分）</w:t>
            </w:r>
          </w:p>
        </w:tc>
        <w:tc>
          <w:tcPr>
            <w:tcW w:w="3353" w:type="pct"/>
            <w:vAlign w:val="center"/>
          </w:tcPr>
          <w:p w14:paraId="12F4F859">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提供固定办公场所证明的得5分（固定办公证明：产权登记为投标人的，提供产权证明，属于租赁的需提供租赁协议，所提供产权证明或租赁协议中的地址需同投标人营业执照地址一致）。</w:t>
            </w:r>
          </w:p>
        </w:tc>
      </w:tr>
      <w:tr w14:paraId="39CE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2012" w:hRule="atLeast"/>
        </w:trPr>
        <w:tc>
          <w:tcPr>
            <w:tcW w:w="466" w:type="pct"/>
            <w:vMerge w:val="continue"/>
            <w:vAlign w:val="center"/>
          </w:tcPr>
          <w:p w14:paraId="5F94B948">
            <w:pPr>
              <w:pStyle w:val="39"/>
              <w:spacing w:line="320" w:lineRule="exact"/>
              <w:textAlignment w:val="auto"/>
              <w:rPr>
                <w:rFonts w:ascii="仿宋" w:hAnsi="仿宋" w:eastAsia="仿宋" w:cs="仿宋"/>
                <w:b w:val="0"/>
                <w:bCs w:val="0"/>
                <w:color w:val="auto"/>
                <w:sz w:val="22"/>
                <w:szCs w:val="22"/>
                <w:highlight w:val="none"/>
              </w:rPr>
            </w:pPr>
          </w:p>
        </w:tc>
        <w:tc>
          <w:tcPr>
            <w:tcW w:w="435" w:type="pct"/>
            <w:vMerge w:val="continue"/>
            <w:vAlign w:val="center"/>
          </w:tcPr>
          <w:p w14:paraId="6988FF28">
            <w:pPr>
              <w:pStyle w:val="39"/>
              <w:spacing w:line="320" w:lineRule="exact"/>
              <w:textAlignment w:val="auto"/>
              <w:rPr>
                <w:rFonts w:ascii="仿宋" w:hAnsi="仿宋" w:eastAsia="仿宋" w:cs="仿宋"/>
                <w:b w:val="0"/>
                <w:bCs w:val="0"/>
                <w:color w:val="auto"/>
                <w:sz w:val="22"/>
                <w:szCs w:val="22"/>
                <w:highlight w:val="none"/>
              </w:rPr>
            </w:pPr>
          </w:p>
        </w:tc>
        <w:tc>
          <w:tcPr>
            <w:tcW w:w="744" w:type="pct"/>
            <w:vMerge w:val="restart"/>
            <w:vAlign w:val="center"/>
          </w:tcPr>
          <w:p w14:paraId="2AAEC7BB">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项目组织机构（满分15分）</w:t>
            </w:r>
          </w:p>
        </w:tc>
        <w:tc>
          <w:tcPr>
            <w:tcW w:w="3353" w:type="pct"/>
            <w:vAlign w:val="center"/>
          </w:tcPr>
          <w:p w14:paraId="1851C5A6">
            <w:pPr>
              <w:jc w:val="lef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项目负责人（5分）：</w:t>
            </w:r>
          </w:p>
          <w:p w14:paraId="5E1054FC">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2022年1月1日至今以项目负责人或技术负责人身份承担过1项及以上的招标代理业绩得1分，满分5分，加满为止。</w:t>
            </w:r>
          </w:p>
          <w:p w14:paraId="59F5EE7A">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Cs w:val="21"/>
                <w:highlight w:val="none"/>
              </w:rPr>
              <w:t>注：业绩证明材料以代理机构与招标人所签订的招标代理合同或发出的中标通知书为准。所附的业绩证明材料中，需能证明其担任项目负责人或技术负责人身份，否则其业绩不予以认可。</w:t>
            </w:r>
          </w:p>
        </w:tc>
      </w:tr>
      <w:tr w14:paraId="46847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564" w:hRule="atLeast"/>
        </w:trPr>
        <w:tc>
          <w:tcPr>
            <w:tcW w:w="466" w:type="pct"/>
            <w:vMerge w:val="continue"/>
            <w:vAlign w:val="center"/>
          </w:tcPr>
          <w:p w14:paraId="71E96D8A">
            <w:pPr>
              <w:pStyle w:val="39"/>
              <w:spacing w:line="320" w:lineRule="exact"/>
              <w:textAlignment w:val="auto"/>
              <w:rPr>
                <w:rFonts w:ascii="仿宋" w:hAnsi="仿宋" w:eastAsia="仿宋" w:cs="仿宋"/>
                <w:b w:val="0"/>
                <w:bCs w:val="0"/>
                <w:color w:val="auto"/>
                <w:sz w:val="22"/>
                <w:szCs w:val="22"/>
                <w:highlight w:val="none"/>
              </w:rPr>
            </w:pPr>
          </w:p>
        </w:tc>
        <w:tc>
          <w:tcPr>
            <w:tcW w:w="435" w:type="pct"/>
            <w:vMerge w:val="continue"/>
            <w:vAlign w:val="center"/>
          </w:tcPr>
          <w:p w14:paraId="10F50210">
            <w:pPr>
              <w:pStyle w:val="39"/>
              <w:spacing w:line="320" w:lineRule="exact"/>
              <w:textAlignment w:val="auto"/>
              <w:rPr>
                <w:rFonts w:ascii="仿宋" w:hAnsi="仿宋" w:eastAsia="仿宋" w:cs="仿宋"/>
                <w:b w:val="0"/>
                <w:bCs w:val="0"/>
                <w:color w:val="auto"/>
                <w:sz w:val="22"/>
                <w:szCs w:val="22"/>
                <w:highlight w:val="none"/>
              </w:rPr>
            </w:pPr>
          </w:p>
        </w:tc>
        <w:tc>
          <w:tcPr>
            <w:tcW w:w="744" w:type="pct"/>
            <w:vMerge w:val="continue"/>
            <w:vAlign w:val="center"/>
          </w:tcPr>
          <w:p w14:paraId="3DAD7089">
            <w:pPr>
              <w:jc w:val="left"/>
              <w:rPr>
                <w:rFonts w:hint="eastAsia" w:ascii="仿宋" w:hAnsi="仿宋" w:eastAsia="仿宋" w:cs="仿宋"/>
                <w:b w:val="0"/>
                <w:bCs w:val="0"/>
                <w:color w:val="auto"/>
                <w:sz w:val="21"/>
                <w:szCs w:val="21"/>
                <w:highlight w:val="none"/>
                <w:lang w:val="en-US" w:eastAsia="zh-CN"/>
              </w:rPr>
            </w:pPr>
          </w:p>
        </w:tc>
        <w:tc>
          <w:tcPr>
            <w:tcW w:w="3353" w:type="pct"/>
            <w:vAlign w:val="center"/>
          </w:tcPr>
          <w:p w14:paraId="10BDC025">
            <w:pPr>
              <w:jc w:val="left"/>
              <w:rPr>
                <w:rFonts w:hint="default"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项目组成员（10分）：</w:t>
            </w:r>
          </w:p>
          <w:p w14:paraId="66A75045">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除项目负责人外，项目组成员每增加一名具有中级及以上职称且从事3年以上招标代理工作的得2分；加分加到满分10分为止。</w:t>
            </w:r>
          </w:p>
          <w:p w14:paraId="6EDC089D">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注：具有招标从业人员相关证书，须是申请人单位人员并提供相应证明材料（劳动合同），否则不得分。</w:t>
            </w:r>
          </w:p>
        </w:tc>
      </w:tr>
    </w:tbl>
    <w:p w14:paraId="2791AE2D">
      <w:pPr>
        <w:pStyle w:val="3"/>
        <w:numPr>
          <w:ilvl w:val="255"/>
          <w:numId w:val="0"/>
        </w:numPr>
        <w:rPr>
          <w:color w:val="auto"/>
          <w:highlight w:val="none"/>
        </w:rPr>
      </w:pPr>
    </w:p>
    <w:p w14:paraId="7E6C986C">
      <w:pPr>
        <w:rPr>
          <w:rFonts w:ascii="仿宋" w:hAnsi="仿宋" w:eastAsia="仿宋" w:cs="仿宋"/>
          <w:color w:val="auto"/>
          <w:highlight w:val="none"/>
        </w:rPr>
      </w:pPr>
      <w:r>
        <w:rPr>
          <w:rFonts w:ascii="仿宋" w:hAnsi="仿宋" w:eastAsia="仿宋" w:cs="仿宋"/>
          <w:color w:val="auto"/>
          <w:highlight w:val="none"/>
        </w:rPr>
        <w:br w:type="page"/>
      </w:r>
    </w:p>
    <w:p w14:paraId="26332AF6">
      <w:pPr>
        <w:rPr>
          <w:rFonts w:ascii="仿宋" w:hAnsi="仿宋" w:eastAsia="仿宋" w:cs="仿宋"/>
          <w:color w:val="auto"/>
          <w:highlight w:val="none"/>
        </w:rPr>
      </w:pPr>
    </w:p>
    <w:p w14:paraId="0532FCC2">
      <w:pPr>
        <w:pStyle w:val="4"/>
        <w:spacing w:before="0" w:after="0" w:line="500" w:lineRule="exact"/>
        <w:ind w:left="0" w:firstLine="0"/>
        <w:jc w:val="both"/>
        <w:rPr>
          <w:rFonts w:ascii="仿宋" w:hAnsi="仿宋" w:eastAsia="仿宋" w:cs="仿宋"/>
          <w:color w:val="auto"/>
          <w:sz w:val="24"/>
          <w:szCs w:val="24"/>
          <w:highlight w:val="none"/>
        </w:rPr>
      </w:pPr>
      <w:bookmarkStart w:id="142" w:name="_Toc27990"/>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商务部分</w:t>
      </w:r>
      <w:bookmarkEnd w:id="142"/>
    </w:p>
    <w:tbl>
      <w:tblPr>
        <w:tblStyle w:val="27"/>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461"/>
        <w:gridCol w:w="7700"/>
      </w:tblGrid>
      <w:tr w14:paraId="0B0A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6" w:type="pct"/>
            <w:vAlign w:val="center"/>
          </w:tcPr>
          <w:p w14:paraId="1E6E38D9">
            <w:pPr>
              <w:pStyle w:val="39"/>
              <w:spacing w:line="320" w:lineRule="exact"/>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条款号</w:t>
            </w:r>
          </w:p>
        </w:tc>
        <w:tc>
          <w:tcPr>
            <w:tcW w:w="723" w:type="pct"/>
            <w:vAlign w:val="center"/>
          </w:tcPr>
          <w:p w14:paraId="3D87867E">
            <w:pPr>
              <w:pStyle w:val="39"/>
              <w:spacing w:line="320" w:lineRule="exact"/>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评分因素</w:t>
            </w:r>
          </w:p>
        </w:tc>
        <w:tc>
          <w:tcPr>
            <w:tcW w:w="3809" w:type="pct"/>
            <w:vAlign w:val="center"/>
          </w:tcPr>
          <w:p w14:paraId="7E8A4876">
            <w:pPr>
              <w:pStyle w:val="39"/>
              <w:spacing w:line="320" w:lineRule="exact"/>
              <w:textAlignment w:val="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r>
      <w:tr w14:paraId="3DC77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66" w:type="pct"/>
            <w:vAlign w:val="center"/>
          </w:tcPr>
          <w:p w14:paraId="64FF8215">
            <w:pPr>
              <w:pStyle w:val="39"/>
              <w:spacing w:line="320" w:lineRule="exact"/>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3.3.1</w:t>
            </w:r>
          </w:p>
        </w:tc>
        <w:tc>
          <w:tcPr>
            <w:tcW w:w="1364" w:type="dxa"/>
            <w:vAlign w:val="center"/>
          </w:tcPr>
          <w:p w14:paraId="298DD45A">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企业业绩</w:t>
            </w:r>
          </w:p>
          <w:p w14:paraId="4541C09D">
            <w:pPr>
              <w:jc w:val="left"/>
              <w:rPr>
                <w:rFonts w:ascii="仿宋" w:hAnsi="仿宋" w:eastAsia="仿宋" w:cs="仿宋"/>
                <w:b/>
                <w:bCs/>
                <w:color w:val="auto"/>
                <w:szCs w:val="21"/>
                <w:highlight w:val="none"/>
              </w:rPr>
            </w:pPr>
            <w:r>
              <w:rPr>
                <w:rFonts w:hint="eastAsia" w:ascii="仿宋" w:hAnsi="仿宋" w:eastAsia="仿宋" w:cs="仿宋"/>
                <w:b w:val="0"/>
                <w:bCs w:val="0"/>
                <w:color w:val="auto"/>
                <w:sz w:val="21"/>
                <w:szCs w:val="21"/>
                <w:highlight w:val="none"/>
                <w:lang w:val="en-US" w:eastAsia="zh-CN"/>
              </w:rPr>
              <w:t>（满分10分）</w:t>
            </w:r>
          </w:p>
        </w:tc>
        <w:tc>
          <w:tcPr>
            <w:tcW w:w="7191" w:type="dxa"/>
            <w:vAlign w:val="center"/>
          </w:tcPr>
          <w:p w14:paraId="74111FF5">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（1）2022年1月1日至今每承担过1个服务类招标代理业绩的加0.2分，满分5分，加满为止。</w:t>
            </w:r>
          </w:p>
          <w:p w14:paraId="1A77B258">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（2）2022年1月1日至今每承担过1个工程类招标代理业绩加0.2分，满分3分，加满为止。</w:t>
            </w:r>
          </w:p>
          <w:p w14:paraId="26D1F860">
            <w:pPr>
              <w:jc w:val="left"/>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（3）2022年1月1日至今每承担过1个货物类招标代理业绩的加0.2分，满分2分，加满为止。</w:t>
            </w:r>
          </w:p>
          <w:p w14:paraId="10B86C8C">
            <w:pPr>
              <w:jc w:val="left"/>
              <w:rPr>
                <w:rFonts w:ascii="仿宋" w:hAnsi="仿宋" w:eastAsia="仿宋" w:cs="仿宋"/>
                <w:color w:val="auto"/>
                <w:szCs w:val="21"/>
                <w:highlight w:val="none"/>
              </w:rPr>
            </w:pPr>
            <w:r>
              <w:rPr>
                <w:rFonts w:hint="eastAsia" w:ascii="仿宋" w:hAnsi="仿宋" w:eastAsia="仿宋" w:cs="仿宋"/>
                <w:b w:val="0"/>
                <w:bCs w:val="0"/>
                <w:color w:val="auto"/>
                <w:sz w:val="21"/>
                <w:szCs w:val="21"/>
                <w:highlight w:val="none"/>
                <w:lang w:val="en-US" w:eastAsia="zh-CN"/>
              </w:rPr>
              <w:t>注：业绩证明材料提供合同或网页公示截图的复印件，无证明材料或未按要求提供证明材料或证明材料不明确、无法体现业绩内容的，不予认可。</w:t>
            </w:r>
          </w:p>
        </w:tc>
      </w:tr>
    </w:tbl>
    <w:p w14:paraId="1289EDAB">
      <w:pPr>
        <w:rPr>
          <w:color w:val="auto"/>
          <w:highlight w:val="none"/>
        </w:rPr>
      </w:pPr>
    </w:p>
    <w:p w14:paraId="1C4659E0">
      <w:pPr>
        <w:pStyle w:val="39"/>
        <w:rPr>
          <w:rFonts w:ascii="仿宋" w:hAnsi="仿宋" w:eastAsia="仿宋" w:cs="仿宋"/>
          <w:color w:val="auto"/>
          <w:szCs w:val="21"/>
          <w:highlight w:val="none"/>
        </w:rPr>
      </w:pPr>
    </w:p>
    <w:p w14:paraId="2641093F">
      <w:pPr>
        <w:rPr>
          <w:rFonts w:ascii="仿宋" w:hAnsi="仿宋" w:eastAsia="仿宋" w:cs="仿宋"/>
          <w:color w:val="auto"/>
          <w:sz w:val="28"/>
          <w:szCs w:val="28"/>
          <w:highlight w:val="none"/>
        </w:rPr>
      </w:pPr>
      <w:bookmarkStart w:id="143" w:name="_Toc17914"/>
      <w:bookmarkStart w:id="144" w:name="_Toc872"/>
      <w:bookmarkStart w:id="145" w:name="_Toc7802"/>
      <w:bookmarkStart w:id="146" w:name="_Toc12035"/>
      <w:r>
        <w:rPr>
          <w:rFonts w:hint="eastAsia" w:ascii="仿宋" w:hAnsi="仿宋" w:eastAsia="仿宋" w:cs="仿宋"/>
          <w:color w:val="auto"/>
          <w:sz w:val="28"/>
          <w:szCs w:val="28"/>
          <w:highlight w:val="none"/>
        </w:rPr>
        <w:br w:type="page"/>
      </w:r>
    </w:p>
    <w:p w14:paraId="6A4FA502">
      <w:pPr>
        <w:pStyle w:val="4"/>
        <w:numPr>
          <w:ilvl w:val="1"/>
          <w:numId w:val="0"/>
        </w:numPr>
        <w:spacing w:before="0"/>
        <w:ind w:left="1021" w:leftChars="0" w:hanging="596" w:firstLine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 评审方法</w:t>
      </w:r>
      <w:bookmarkEnd w:id="143"/>
      <w:bookmarkEnd w:id="144"/>
      <w:bookmarkEnd w:id="145"/>
      <w:bookmarkEnd w:id="146"/>
    </w:p>
    <w:p w14:paraId="53F2804C">
      <w:pPr>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磋商小组根据磋商申请人的磋商申请文件，在全部满足磋商文件初步评审要求，质量和服务均能满足采购文件实质性响应要求的磋商申请人中，</w:t>
      </w:r>
      <w:bookmarkStart w:id="147" w:name="_Toc379789649"/>
      <w:r>
        <w:rPr>
          <w:rFonts w:hint="eastAsia" w:ascii="仿宋" w:hAnsi="仿宋" w:eastAsia="仿宋" w:cs="仿宋"/>
          <w:color w:val="auto"/>
          <w:szCs w:val="21"/>
          <w:highlight w:val="none"/>
        </w:rPr>
        <w:t>经磋商确定最终采购需求和提交最后报价的磋商申请人后，由磋商小组采用综合评分法对提交最后报价的磋商申请人的磋商申请文件和最后报价进行综合评分。</w:t>
      </w:r>
    </w:p>
    <w:p w14:paraId="6D75BBEC">
      <w:pPr>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综合评分法，是指磋商申请文件满足磋商文件全部实质性要求且按评审因素的量化指标评审得分最高的磋商申请人为成交候选磋商申请人的评审方法</w:t>
      </w:r>
    </w:p>
    <w:p w14:paraId="28916B44">
      <w:pPr>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如果磋商小组根据本章的规定作投标被否决处理后，有效投标不足三个，且少于第二章规定的中标候选人数量的，按昆政办[2010]141号文规定，如有效投标不足3家时，应否决所有投标。若有效投标不足三个但仍然具备投标竞争力的，评标委员会不否决所有投标时，评标委员会可投票推荐中标人。如果因有效投标不足三个使得投标明显缺乏竞争的，评标委员会可以建议招标人重新招标。</w:t>
      </w:r>
    </w:p>
    <w:p w14:paraId="3D062F25">
      <w:pPr>
        <w:pStyle w:val="4"/>
        <w:numPr>
          <w:ilvl w:val="1"/>
          <w:numId w:val="0"/>
        </w:numPr>
        <w:spacing w:before="0"/>
        <w:ind w:left="1021" w:hanging="596"/>
        <w:rPr>
          <w:rFonts w:ascii="仿宋" w:hAnsi="仿宋" w:eastAsia="仿宋" w:cs="仿宋"/>
          <w:color w:val="auto"/>
          <w:sz w:val="21"/>
          <w:szCs w:val="21"/>
          <w:highlight w:val="none"/>
        </w:rPr>
      </w:pPr>
      <w:bookmarkStart w:id="148" w:name="_Toc3482"/>
      <w:bookmarkStart w:id="149" w:name="_Toc4554"/>
      <w:bookmarkStart w:id="150" w:name="_Toc2453"/>
      <w:bookmarkStart w:id="151" w:name="_Toc492628020"/>
      <w:bookmarkStart w:id="152" w:name="_Toc27554"/>
      <w:r>
        <w:rPr>
          <w:rFonts w:hint="eastAsia" w:ascii="仿宋" w:hAnsi="仿宋" w:eastAsia="仿宋" w:cs="仿宋"/>
          <w:color w:val="auto"/>
          <w:sz w:val="21"/>
          <w:szCs w:val="21"/>
          <w:highlight w:val="none"/>
        </w:rPr>
        <w:t>2.磋商程序</w:t>
      </w:r>
      <w:bookmarkEnd w:id="148"/>
      <w:bookmarkEnd w:id="149"/>
      <w:bookmarkEnd w:id="150"/>
      <w:bookmarkEnd w:id="151"/>
      <w:bookmarkEnd w:id="152"/>
    </w:p>
    <w:p w14:paraId="5839B568">
      <w:pPr>
        <w:ind w:left="450"/>
        <w:rPr>
          <w:rFonts w:ascii="仿宋" w:hAnsi="仿宋" w:eastAsia="仿宋" w:cs="仿宋"/>
          <w:color w:val="auto"/>
          <w:szCs w:val="21"/>
          <w:highlight w:val="none"/>
        </w:rPr>
      </w:pPr>
      <w:r>
        <w:rPr>
          <w:rFonts w:hint="eastAsia" w:ascii="仿宋" w:hAnsi="仿宋" w:eastAsia="仿宋" w:cs="仿宋"/>
          <w:b/>
          <w:color w:val="auto"/>
          <w:szCs w:val="21"/>
          <w:highlight w:val="none"/>
        </w:rPr>
        <w:t>2.1资格性评审（合格制）；</w:t>
      </w:r>
    </w:p>
    <w:p w14:paraId="66ADE629">
      <w:pPr>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资格评审标准：依据法律法规和磋商文件的规定，对磋商申请文件中的资格证明等进行审查，以确定磋商申请人是否具备磋商资格。</w:t>
      </w:r>
    </w:p>
    <w:p w14:paraId="5900AA96">
      <w:pPr>
        <w:spacing w:line="360" w:lineRule="auto"/>
        <w:ind w:firstLine="422" w:firstLineChars="200"/>
        <w:rPr>
          <w:rFonts w:ascii="仿宋" w:hAnsi="仿宋" w:eastAsia="仿宋" w:cs="仿宋"/>
          <w:color w:val="auto"/>
          <w:szCs w:val="21"/>
          <w:highlight w:val="none"/>
        </w:rPr>
      </w:pPr>
      <w:r>
        <w:rPr>
          <w:rFonts w:hint="eastAsia" w:ascii="仿宋" w:hAnsi="仿宋" w:eastAsia="仿宋" w:cs="仿宋"/>
          <w:b/>
          <w:color w:val="auto"/>
          <w:szCs w:val="21"/>
          <w:highlight w:val="none"/>
        </w:rPr>
        <w:t>2.2 响应性评审（合格制）；</w:t>
      </w:r>
    </w:p>
    <w:p w14:paraId="37C2CB74">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响应评审标准：依据磋商文件的规定对磋商申请文件进行审查，以确定是否对磋商文件的要求作出响应。</w:t>
      </w:r>
    </w:p>
    <w:p w14:paraId="68514DB7">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2.2.1磋商小组所有成员应当集中与通过响应性评审的供应商分别进行磋商，并给予所有参加磋商的供应商平等的磋商机会；</w:t>
      </w:r>
    </w:p>
    <w:p w14:paraId="41809B6A">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2.2.2供应商在磋商后根据磋商小组的磋商情况进行第二次报价；</w:t>
      </w:r>
    </w:p>
    <w:p w14:paraId="5ACC7B87">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2.2.3磋商小组经磋商确定最终采购需求和提交第二次报价的供应商后，由磋商小组采用综合评分法对提交最后报价的供应商的响应文件和最后报价进行综合评分；</w:t>
      </w:r>
    </w:p>
    <w:p w14:paraId="08BB6CF5">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rPr>
        <w:t>2.2.4推荐成交候选人（磋商小组将按综合评分表中规定的各项分值进行打分并计算出各供应商的综合得分，按得分由高到低推荐成交候选供应商。得分相同的，按投标报价由低到高顺序排列）。</w:t>
      </w:r>
    </w:p>
    <w:bookmarkEnd w:id="147"/>
    <w:p w14:paraId="04B5BCB3">
      <w:pPr>
        <w:pStyle w:val="4"/>
        <w:numPr>
          <w:ilvl w:val="1"/>
          <w:numId w:val="0"/>
        </w:numPr>
        <w:spacing w:before="0"/>
        <w:ind w:left="1021" w:hanging="596"/>
        <w:jc w:val="both"/>
        <w:rPr>
          <w:rFonts w:ascii="仿宋" w:hAnsi="仿宋" w:eastAsia="仿宋" w:cs="仿宋"/>
          <w:color w:val="auto"/>
          <w:sz w:val="21"/>
          <w:szCs w:val="21"/>
          <w:highlight w:val="none"/>
        </w:rPr>
      </w:pPr>
      <w:bookmarkStart w:id="153" w:name="_Toc24644"/>
      <w:bookmarkStart w:id="154" w:name="_Toc5154"/>
      <w:bookmarkStart w:id="155" w:name="_Toc10542"/>
      <w:bookmarkStart w:id="156" w:name="_Toc10151"/>
      <w:bookmarkStart w:id="157" w:name="_Toc492628021"/>
      <w:bookmarkStart w:id="158" w:name="_Toc426031644"/>
      <w:r>
        <w:rPr>
          <w:rFonts w:hint="eastAsia" w:ascii="仿宋" w:hAnsi="仿宋" w:eastAsia="仿宋" w:cs="仿宋"/>
          <w:color w:val="auto"/>
          <w:sz w:val="21"/>
          <w:szCs w:val="21"/>
          <w:highlight w:val="none"/>
        </w:rPr>
        <w:t>2.3综合评分标准</w:t>
      </w:r>
      <w:bookmarkEnd w:id="153"/>
      <w:bookmarkEnd w:id="154"/>
      <w:bookmarkEnd w:id="155"/>
      <w:bookmarkEnd w:id="156"/>
      <w:bookmarkEnd w:id="157"/>
    </w:p>
    <w:bookmarkEnd w:id="158"/>
    <w:p w14:paraId="79BFF340">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3.1</w:t>
      </w:r>
      <w:r>
        <w:rPr>
          <w:rFonts w:hint="eastAsia" w:ascii="仿宋" w:hAnsi="仿宋" w:eastAsia="仿宋" w:cs="仿宋"/>
          <w:color w:val="auto"/>
          <w:szCs w:val="21"/>
          <w:highlight w:val="none"/>
          <w:lang w:val="zh-CN"/>
        </w:rPr>
        <w:t>评分因素以及分值：详见评分办法前附表；</w:t>
      </w:r>
    </w:p>
    <w:p w14:paraId="5E03B41E">
      <w:pPr>
        <w:spacing w:line="360" w:lineRule="auto"/>
        <w:ind w:firstLine="472" w:firstLineChars="225"/>
        <w:rPr>
          <w:rFonts w:ascii="仿宋" w:hAnsi="仿宋" w:eastAsia="仿宋" w:cs="仿宋"/>
          <w:color w:val="auto"/>
          <w:szCs w:val="21"/>
          <w:highlight w:val="none"/>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3.2</w:t>
      </w:r>
      <w:r>
        <w:rPr>
          <w:rFonts w:hint="eastAsia" w:ascii="仿宋" w:hAnsi="仿宋" w:eastAsia="仿宋" w:cs="仿宋"/>
          <w:color w:val="auto"/>
          <w:szCs w:val="21"/>
          <w:highlight w:val="none"/>
          <w:lang w:val="zh-CN"/>
        </w:rPr>
        <w:t>价格部分：详见评分办法前附表；</w:t>
      </w:r>
    </w:p>
    <w:p w14:paraId="7EFFFB1A">
      <w:pPr>
        <w:spacing w:line="360" w:lineRule="auto"/>
        <w:ind w:firstLine="472" w:firstLineChars="225"/>
        <w:rPr>
          <w:rFonts w:ascii="仿宋" w:hAnsi="仿宋" w:eastAsia="仿宋" w:cs="仿宋"/>
          <w:color w:val="auto"/>
          <w:szCs w:val="21"/>
          <w:highlight w:val="none"/>
          <w:lang w:val="zh-CN"/>
        </w:rPr>
      </w:pP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rPr>
        <w:t>3.3</w:t>
      </w:r>
      <w:r>
        <w:rPr>
          <w:rFonts w:hint="eastAsia" w:ascii="仿宋" w:hAnsi="仿宋" w:eastAsia="仿宋" w:cs="仿宋"/>
          <w:color w:val="auto"/>
          <w:szCs w:val="21"/>
          <w:highlight w:val="none"/>
          <w:lang w:val="zh-CN"/>
        </w:rPr>
        <w:t>技术部分：详见评分办法前附表；</w:t>
      </w:r>
    </w:p>
    <w:p w14:paraId="212F7D8C">
      <w:pPr>
        <w:pStyle w:val="26"/>
        <w:tabs>
          <w:tab w:val="left" w:pos="400"/>
        </w:tabs>
        <w:ind w:firstLine="420" w:firstLineChars="200"/>
        <w:rPr>
          <w:rFonts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3.4 商务部分：</w:t>
      </w:r>
      <w:r>
        <w:rPr>
          <w:rFonts w:hint="eastAsia" w:ascii="仿宋" w:hAnsi="仿宋" w:eastAsia="仿宋" w:cs="仿宋"/>
          <w:color w:val="auto"/>
          <w:sz w:val="21"/>
          <w:szCs w:val="21"/>
          <w:highlight w:val="none"/>
          <w:lang w:val="zh-CN" w:eastAsia="zh-CN"/>
        </w:rPr>
        <w:t>详见评分办法前附表。</w:t>
      </w:r>
    </w:p>
    <w:p w14:paraId="224EFD3E">
      <w:pPr>
        <w:spacing w:line="360" w:lineRule="auto"/>
        <w:ind w:firstLine="422" w:firstLineChars="200"/>
        <w:rPr>
          <w:rFonts w:ascii="仿宋" w:hAnsi="仿宋" w:eastAsia="仿宋" w:cs="仿宋"/>
          <w:b/>
          <w:bCs/>
          <w:color w:val="auto"/>
          <w:kern w:val="0"/>
          <w:szCs w:val="21"/>
          <w:highlight w:val="none"/>
        </w:rPr>
      </w:pPr>
      <w:r>
        <w:rPr>
          <w:rFonts w:hint="eastAsia" w:ascii="仿宋" w:hAnsi="仿宋" w:eastAsia="仿宋" w:cs="仿宋"/>
          <w:b/>
          <w:bCs/>
          <w:color w:val="auto"/>
          <w:kern w:val="0"/>
          <w:szCs w:val="21"/>
          <w:highlight w:val="none"/>
        </w:rPr>
        <w:t>2.4评标基准价计算</w:t>
      </w:r>
    </w:p>
    <w:p w14:paraId="49543390">
      <w:pPr>
        <w:spacing w:line="360" w:lineRule="auto"/>
        <w:ind w:firstLine="472" w:firstLineChars="225"/>
        <w:rPr>
          <w:rFonts w:ascii="仿宋" w:hAnsi="仿宋" w:eastAsia="仿宋" w:cs="仿宋"/>
          <w:color w:val="auto"/>
          <w:szCs w:val="21"/>
          <w:highlight w:val="none"/>
          <w:lang w:val="zh-CN"/>
        </w:rPr>
      </w:pPr>
      <w:r>
        <w:rPr>
          <w:rFonts w:hint="eastAsia" w:ascii="仿宋" w:hAnsi="仿宋" w:eastAsia="仿宋" w:cs="仿宋"/>
          <w:color w:val="auto"/>
          <w:szCs w:val="21"/>
          <w:highlight w:val="none"/>
        </w:rPr>
        <w:t>评标基准价计算方法：</w:t>
      </w:r>
      <w:r>
        <w:rPr>
          <w:rFonts w:hint="eastAsia" w:ascii="仿宋" w:hAnsi="仿宋" w:eastAsia="仿宋" w:cs="仿宋"/>
          <w:color w:val="auto"/>
          <w:szCs w:val="21"/>
          <w:highlight w:val="none"/>
          <w:lang w:val="zh-CN"/>
        </w:rPr>
        <w:t>详见评分办法前附表</w:t>
      </w:r>
      <w:r>
        <w:rPr>
          <w:rFonts w:hint="eastAsia" w:ascii="仿宋" w:hAnsi="仿宋" w:eastAsia="仿宋" w:cs="仿宋"/>
          <w:color w:val="auto"/>
          <w:szCs w:val="21"/>
          <w:highlight w:val="none"/>
        </w:rPr>
        <w:t>。</w:t>
      </w:r>
    </w:p>
    <w:p w14:paraId="68272260">
      <w:pPr>
        <w:pStyle w:val="4"/>
        <w:numPr>
          <w:ilvl w:val="1"/>
          <w:numId w:val="0"/>
        </w:numPr>
        <w:spacing w:before="0"/>
        <w:ind w:left="1021" w:hanging="596"/>
        <w:rPr>
          <w:rFonts w:ascii="仿宋" w:hAnsi="仿宋" w:eastAsia="仿宋" w:cs="仿宋"/>
          <w:color w:val="auto"/>
          <w:sz w:val="21"/>
          <w:szCs w:val="21"/>
          <w:highlight w:val="none"/>
        </w:rPr>
      </w:pPr>
      <w:bookmarkStart w:id="159" w:name="_Toc492628022"/>
      <w:bookmarkStart w:id="160" w:name="_Toc17719"/>
      <w:bookmarkStart w:id="161" w:name="_Toc19727"/>
      <w:bookmarkStart w:id="162" w:name="_Toc13451"/>
      <w:bookmarkStart w:id="163" w:name="_Toc3462"/>
      <w:r>
        <w:rPr>
          <w:rFonts w:hint="eastAsia" w:ascii="仿宋" w:hAnsi="仿宋" w:eastAsia="仿宋" w:cs="仿宋"/>
          <w:color w:val="auto"/>
          <w:sz w:val="21"/>
          <w:szCs w:val="21"/>
          <w:highlight w:val="none"/>
        </w:rPr>
        <w:t>3. 评审程序</w:t>
      </w:r>
      <w:bookmarkEnd w:id="159"/>
      <w:bookmarkEnd w:id="160"/>
      <w:bookmarkEnd w:id="161"/>
      <w:bookmarkEnd w:id="162"/>
      <w:bookmarkEnd w:id="163"/>
    </w:p>
    <w:p w14:paraId="601DB8FF">
      <w:pPr>
        <w:pStyle w:val="5"/>
        <w:numPr>
          <w:ilvl w:val="2"/>
          <w:numId w:val="0"/>
        </w:numPr>
        <w:tabs>
          <w:tab w:val="left" w:pos="900"/>
        </w:tabs>
        <w:spacing w:before="0"/>
        <w:ind w:firstLine="521" w:firstLineChars="247"/>
        <w:jc w:val="left"/>
        <w:rPr>
          <w:rFonts w:ascii="仿宋" w:hAnsi="仿宋" w:eastAsia="仿宋" w:cs="仿宋"/>
          <w:color w:val="auto"/>
          <w:sz w:val="21"/>
          <w:szCs w:val="21"/>
          <w:highlight w:val="none"/>
        </w:rPr>
      </w:pPr>
      <w:bookmarkStart w:id="164" w:name="_Toc9584"/>
      <w:bookmarkStart w:id="165" w:name="_Toc422271231"/>
      <w:bookmarkStart w:id="166" w:name="_Toc10367"/>
      <w:bookmarkStart w:id="167" w:name="_Toc20090"/>
      <w:bookmarkStart w:id="168" w:name="_Toc492628023"/>
      <w:bookmarkStart w:id="169" w:name="_Toc86124099"/>
      <w:bookmarkStart w:id="170" w:name="_Toc191374452"/>
      <w:bookmarkStart w:id="171" w:name="_Toc337822271"/>
      <w:bookmarkStart w:id="172" w:name="_Toc48271432"/>
      <w:r>
        <w:rPr>
          <w:rFonts w:hint="eastAsia" w:ascii="仿宋" w:hAnsi="仿宋" w:eastAsia="仿宋" w:cs="仿宋"/>
          <w:color w:val="auto"/>
          <w:sz w:val="21"/>
          <w:szCs w:val="21"/>
          <w:highlight w:val="none"/>
        </w:rPr>
        <w:t>3.1 初步评审</w:t>
      </w:r>
      <w:bookmarkEnd w:id="164"/>
      <w:bookmarkEnd w:id="165"/>
      <w:bookmarkEnd w:id="166"/>
      <w:bookmarkEnd w:id="167"/>
      <w:bookmarkEnd w:id="168"/>
      <w:bookmarkEnd w:id="169"/>
      <w:bookmarkEnd w:id="170"/>
      <w:bookmarkEnd w:id="171"/>
      <w:bookmarkEnd w:id="172"/>
    </w:p>
    <w:p w14:paraId="69E2E603">
      <w:pPr>
        <w:spacing w:line="360" w:lineRule="auto"/>
        <w:ind w:firstLine="420" w:firstLineChars="200"/>
        <w:jc w:val="left"/>
        <w:rPr>
          <w:rFonts w:ascii="仿宋" w:hAnsi="仿宋" w:eastAsia="仿宋" w:cs="仿宋"/>
          <w:bCs/>
          <w:color w:val="auto"/>
          <w:szCs w:val="21"/>
          <w:highlight w:val="none"/>
        </w:rPr>
      </w:pPr>
      <w:r>
        <w:rPr>
          <w:rFonts w:hint="eastAsia" w:ascii="仿宋" w:hAnsi="仿宋" w:eastAsia="仿宋" w:cs="仿宋"/>
          <w:color w:val="auto"/>
          <w:szCs w:val="21"/>
          <w:highlight w:val="none"/>
        </w:rPr>
        <w:t>3.1.1磋商小组依据本章评审办法标准对磋商申请文件进行初步评审。</w:t>
      </w:r>
      <w:r>
        <w:rPr>
          <w:rFonts w:hint="eastAsia" w:ascii="仿宋" w:hAnsi="仿宋" w:eastAsia="仿宋" w:cs="仿宋"/>
          <w:bCs/>
          <w:color w:val="auto"/>
          <w:szCs w:val="21"/>
          <w:highlight w:val="none"/>
        </w:rPr>
        <w:t>有一项不符合评审标准的，不再参与磋商。</w:t>
      </w:r>
    </w:p>
    <w:p w14:paraId="7338FD86">
      <w:pPr>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3.1.2磋商申请人有以下情形之一的，取消其磋商资格：</w:t>
      </w:r>
    </w:p>
    <w:p w14:paraId="382DB892">
      <w:pPr>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（1）串通报价或弄虚作假或有其他违法行为的；</w:t>
      </w:r>
    </w:p>
    <w:p w14:paraId="2108FCF7">
      <w:pPr>
        <w:spacing w:line="360" w:lineRule="auto"/>
        <w:ind w:firstLine="479"/>
        <w:jc w:val="left"/>
        <w:rPr>
          <w:rFonts w:ascii="仿宋" w:hAnsi="仿宋" w:eastAsia="仿宋" w:cs="仿宋"/>
          <w:color w:val="auto"/>
          <w:szCs w:val="21"/>
          <w:highlight w:val="none"/>
        </w:rPr>
      </w:pPr>
      <w:r>
        <w:rPr>
          <w:rFonts w:hint="eastAsia" w:ascii="仿宋" w:hAnsi="仿宋" w:eastAsia="仿宋" w:cs="仿宋"/>
          <w:color w:val="auto"/>
          <w:szCs w:val="21"/>
          <w:highlight w:val="none"/>
        </w:rPr>
        <w:t>（2）不按磋商小组要求澄清、说明或补正的。</w:t>
      </w:r>
    </w:p>
    <w:p w14:paraId="3B81EACF">
      <w:pPr>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3.1.3 磋商申请文件如果出现计算或表达上的错误，修正错误的原则如下：</w:t>
      </w:r>
    </w:p>
    <w:p w14:paraId="677BE12F">
      <w:pPr>
        <w:pStyle w:val="15"/>
        <w:spacing w:line="360" w:lineRule="auto"/>
        <w:ind w:firstLine="472" w:firstLineChars="22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（1）报价的大写金额和小写金额不一致的，以大写金额为准；</w:t>
      </w:r>
    </w:p>
    <w:p w14:paraId="3EB0CE1E">
      <w:pPr>
        <w:pStyle w:val="15"/>
        <w:spacing w:line="360" w:lineRule="auto"/>
        <w:ind w:firstLine="472" w:firstLineChars="22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（2）总价金额与按单价汇总金额不一致的，以单价金额计算结果为准；</w:t>
      </w:r>
    </w:p>
    <w:p w14:paraId="11678549">
      <w:pPr>
        <w:pStyle w:val="15"/>
        <w:spacing w:line="360" w:lineRule="auto"/>
        <w:ind w:firstLine="472" w:firstLineChars="22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（3）单价金额小数点有明显错位的，应以总价为准，并修改单价；</w:t>
      </w:r>
    </w:p>
    <w:p w14:paraId="09B8F0DC">
      <w:pPr>
        <w:pStyle w:val="15"/>
        <w:spacing w:line="360" w:lineRule="auto"/>
        <w:ind w:firstLine="472" w:firstLineChars="22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（4）对不同文字文本响应文件的解释发生异议的，以中文文本为准。</w:t>
      </w:r>
    </w:p>
    <w:p w14:paraId="1873295B">
      <w:pPr>
        <w:pStyle w:val="15"/>
        <w:spacing w:line="360" w:lineRule="auto"/>
        <w:ind w:firstLine="472" w:firstLineChars="225"/>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按上述修正错误的原则及方法调整或修正磋商申请文件的报价，磋商申请人同意后，调整后的报价对磋商申请人起约束作用。如果磋商申请人不接受修正后的报价，则其申请将被拒绝并且其保证金也将被没收。</w:t>
      </w:r>
    </w:p>
    <w:p w14:paraId="3534E388">
      <w:pPr>
        <w:pStyle w:val="5"/>
        <w:numPr>
          <w:ilvl w:val="2"/>
          <w:numId w:val="0"/>
        </w:numPr>
        <w:tabs>
          <w:tab w:val="left" w:pos="900"/>
        </w:tabs>
        <w:spacing w:before="0"/>
        <w:ind w:firstLine="422" w:firstLineChars="200"/>
        <w:jc w:val="left"/>
        <w:rPr>
          <w:rFonts w:ascii="仿宋" w:hAnsi="仿宋" w:eastAsia="仿宋" w:cs="仿宋"/>
          <w:color w:val="auto"/>
          <w:sz w:val="21"/>
          <w:szCs w:val="21"/>
          <w:highlight w:val="none"/>
        </w:rPr>
      </w:pPr>
      <w:bookmarkStart w:id="173" w:name="_Toc191374453"/>
      <w:bookmarkStart w:id="174" w:name="_Toc86124100"/>
      <w:bookmarkStart w:id="175" w:name="_Toc48271433"/>
      <w:bookmarkStart w:id="176" w:name="_Toc25556"/>
      <w:bookmarkStart w:id="177" w:name="_Toc422271232"/>
      <w:bookmarkStart w:id="178" w:name="_Toc492628024"/>
      <w:bookmarkStart w:id="179" w:name="_Toc4174"/>
      <w:bookmarkStart w:id="180" w:name="_Toc32364"/>
      <w:bookmarkStart w:id="181" w:name="_Toc337822272"/>
      <w:r>
        <w:rPr>
          <w:rFonts w:hint="eastAsia" w:ascii="仿宋" w:hAnsi="仿宋" w:eastAsia="仿宋" w:cs="仿宋"/>
          <w:color w:val="auto"/>
          <w:sz w:val="21"/>
          <w:szCs w:val="21"/>
          <w:highlight w:val="none"/>
        </w:rPr>
        <w:t xml:space="preserve">3.2 </w:t>
      </w:r>
      <w:bookmarkEnd w:id="173"/>
      <w:bookmarkEnd w:id="174"/>
      <w:bookmarkStart w:id="182" w:name="_Toc191374454"/>
      <w:bookmarkStart w:id="183" w:name="_Toc86124101"/>
      <w:r>
        <w:rPr>
          <w:rFonts w:hint="eastAsia" w:ascii="仿宋" w:hAnsi="仿宋" w:eastAsia="仿宋" w:cs="仿宋"/>
          <w:color w:val="auto"/>
          <w:sz w:val="21"/>
          <w:szCs w:val="21"/>
          <w:highlight w:val="none"/>
        </w:rPr>
        <w:t>磋商</w:t>
      </w:r>
      <w:bookmarkEnd w:id="175"/>
      <w:r>
        <w:rPr>
          <w:rFonts w:hint="eastAsia" w:ascii="仿宋" w:hAnsi="仿宋" w:eastAsia="仿宋" w:cs="仿宋"/>
          <w:color w:val="auto"/>
          <w:sz w:val="21"/>
          <w:szCs w:val="21"/>
          <w:highlight w:val="none"/>
        </w:rPr>
        <w:t>、比较与评价</w:t>
      </w:r>
      <w:bookmarkEnd w:id="176"/>
      <w:bookmarkEnd w:id="177"/>
      <w:bookmarkEnd w:id="178"/>
      <w:bookmarkEnd w:id="179"/>
      <w:bookmarkEnd w:id="180"/>
      <w:bookmarkEnd w:id="181"/>
    </w:p>
    <w:p w14:paraId="79F5E44D">
      <w:pPr>
        <w:adjustRightInd w:val="0"/>
        <w:spacing w:line="360" w:lineRule="auto"/>
        <w:ind w:firstLine="411" w:firstLineChars="196"/>
        <w:rPr>
          <w:rFonts w:ascii="仿宋" w:hAnsi="仿宋" w:eastAsia="仿宋" w:cs="仿宋"/>
          <w:color w:val="auto"/>
          <w:szCs w:val="21"/>
          <w:highlight w:val="none"/>
        </w:rPr>
      </w:pPr>
      <w:r>
        <w:rPr>
          <w:rFonts w:hint="eastAsia" w:ascii="仿宋" w:hAnsi="仿宋" w:eastAsia="仿宋" w:cs="仿宋"/>
          <w:color w:val="auto"/>
          <w:szCs w:val="21"/>
          <w:highlight w:val="none"/>
        </w:rPr>
        <w:t>3.2.1磋商小组所有成员集中与通过初审的单一磋商申请人分别进行磋商。在磋商中，磋商的任何一方不得透露与磋商有关的其他磋商申请人的技术资料、价格、折扣和其他信息。</w:t>
      </w:r>
    </w:p>
    <w:p w14:paraId="47213967">
      <w:pPr>
        <w:adjustRightInd w:val="0"/>
        <w:spacing w:line="360" w:lineRule="auto"/>
        <w:ind w:firstLine="411" w:firstLineChars="196"/>
        <w:rPr>
          <w:rFonts w:ascii="仿宋" w:hAnsi="仿宋" w:eastAsia="仿宋" w:cs="仿宋"/>
          <w:color w:val="auto"/>
          <w:szCs w:val="21"/>
          <w:highlight w:val="none"/>
        </w:rPr>
      </w:pPr>
      <w:r>
        <w:rPr>
          <w:rFonts w:hint="eastAsia" w:ascii="仿宋" w:hAnsi="仿宋" w:eastAsia="仿宋" w:cs="仿宋"/>
          <w:color w:val="auto"/>
          <w:szCs w:val="21"/>
          <w:highlight w:val="none"/>
        </w:rPr>
        <w:t>3.2.2磋商文件有实质性变动的，磋商小组将以书面形式通知所有参加磋商的磋商申请人。但不得对涉及竞争的公平、公正性内容进行修改、变动。</w:t>
      </w:r>
    </w:p>
    <w:p w14:paraId="0BFDEE50">
      <w:pPr>
        <w:adjustRightInd w:val="0"/>
        <w:spacing w:line="360" w:lineRule="auto"/>
        <w:ind w:firstLine="411" w:firstLineChars="196"/>
        <w:rPr>
          <w:rFonts w:ascii="仿宋" w:hAnsi="仿宋" w:eastAsia="仿宋" w:cs="仿宋"/>
          <w:color w:val="auto"/>
          <w:szCs w:val="21"/>
          <w:highlight w:val="none"/>
        </w:rPr>
      </w:pPr>
      <w:r>
        <w:rPr>
          <w:rFonts w:hint="eastAsia" w:ascii="仿宋" w:hAnsi="仿宋" w:eastAsia="仿宋" w:cs="仿宋"/>
          <w:color w:val="auto"/>
          <w:szCs w:val="21"/>
          <w:highlight w:val="none"/>
        </w:rPr>
        <w:t>3.2.3为有助于对磋商申请文件的详细审查、评价和比较，磋商小组可要求对磋商申请人分别进行技术询问、澄清，有关要求和答复均现场进行。</w:t>
      </w:r>
    </w:p>
    <w:p w14:paraId="73E0BDAF">
      <w:pPr>
        <w:adjustRightInd w:val="0"/>
        <w:spacing w:line="360" w:lineRule="auto"/>
        <w:ind w:firstLine="411" w:firstLineChars="196"/>
        <w:rPr>
          <w:rFonts w:ascii="仿宋" w:hAnsi="仿宋" w:eastAsia="仿宋" w:cs="仿宋"/>
          <w:color w:val="auto"/>
          <w:szCs w:val="21"/>
          <w:highlight w:val="none"/>
        </w:rPr>
      </w:pPr>
      <w:r>
        <w:rPr>
          <w:rFonts w:hint="eastAsia" w:ascii="仿宋" w:hAnsi="仿宋" w:eastAsia="仿宋" w:cs="仿宋"/>
          <w:color w:val="auto"/>
          <w:szCs w:val="21"/>
          <w:highlight w:val="none"/>
        </w:rPr>
        <w:t>3.2.4磋商小组在对磋商申请文件的有效性、完整性和响应程度进行审查时，可以要求磋商申请人对磋商申请文件中含义不明确、同类问题表述不一致或者有明显文字和计算错误的内容等作出必要的澄清、说明或者更正。磋商申请人的澄清、说明或者更正不得超出磋商申请文件的范围或者改变磋商申请文件的实质性内容。磋商小组不接受磋商申请人主动提出的澄清、说明或补正。</w:t>
      </w:r>
    </w:p>
    <w:p w14:paraId="5F9A6D10">
      <w:pPr>
        <w:spacing w:line="360" w:lineRule="auto"/>
        <w:ind w:firstLine="420" w:firstLineChars="200"/>
        <w:jc w:val="left"/>
        <w:rPr>
          <w:rFonts w:ascii="仿宋" w:hAnsi="仿宋" w:eastAsia="仿宋" w:cs="仿宋"/>
          <w:color w:val="auto"/>
          <w:szCs w:val="21"/>
          <w:highlight w:val="none"/>
        </w:rPr>
      </w:pPr>
      <w:r>
        <w:rPr>
          <w:rFonts w:hint="eastAsia" w:ascii="仿宋" w:hAnsi="仿宋" w:eastAsia="仿宋" w:cs="仿宋"/>
          <w:color w:val="auto"/>
          <w:szCs w:val="21"/>
          <w:highlight w:val="none"/>
        </w:rPr>
        <w:t>3.2.5磋商申请人的书面澄清、说明和补正属于磋商申请文件的组成部分。</w:t>
      </w:r>
    </w:p>
    <w:p w14:paraId="77EF589C">
      <w:pPr>
        <w:adjustRightInd w:val="0"/>
        <w:spacing w:line="360" w:lineRule="auto"/>
        <w:ind w:firstLine="411" w:firstLineChars="196"/>
        <w:rPr>
          <w:rFonts w:ascii="仿宋" w:hAnsi="仿宋" w:eastAsia="仿宋" w:cs="仿宋"/>
          <w:color w:val="auto"/>
          <w:szCs w:val="21"/>
          <w:highlight w:val="none"/>
        </w:rPr>
      </w:pPr>
      <w:r>
        <w:rPr>
          <w:rFonts w:hint="eastAsia" w:ascii="仿宋" w:hAnsi="仿宋" w:eastAsia="仿宋" w:cs="仿宋"/>
          <w:color w:val="auto"/>
          <w:szCs w:val="21"/>
          <w:highlight w:val="none"/>
        </w:rPr>
        <w:t>3.2.6磋商小组对磋商申请人提交的澄清、说明或补正有疑问的，可以要求磋商申请人进一步澄清、说明或补正，直至满足磋商小组的要求。</w:t>
      </w:r>
    </w:p>
    <w:p w14:paraId="3D1F33F8">
      <w:pPr>
        <w:pStyle w:val="5"/>
        <w:numPr>
          <w:ilvl w:val="2"/>
          <w:numId w:val="0"/>
        </w:numPr>
        <w:tabs>
          <w:tab w:val="left" w:pos="900"/>
        </w:tabs>
        <w:spacing w:before="0"/>
        <w:ind w:firstLine="422" w:firstLineChars="200"/>
        <w:jc w:val="left"/>
        <w:rPr>
          <w:rFonts w:ascii="仿宋" w:hAnsi="仿宋" w:eastAsia="仿宋" w:cs="仿宋"/>
          <w:color w:val="auto"/>
          <w:sz w:val="21"/>
          <w:szCs w:val="21"/>
          <w:highlight w:val="none"/>
        </w:rPr>
      </w:pPr>
      <w:bookmarkStart w:id="184" w:name="_Toc8775"/>
      <w:bookmarkStart w:id="185" w:name="_Toc15463"/>
      <w:bookmarkStart w:id="186" w:name="_Toc492628025"/>
      <w:bookmarkStart w:id="187" w:name="_Toc29586"/>
      <w:bookmarkStart w:id="188" w:name="_Toc337822273"/>
      <w:bookmarkStart w:id="189" w:name="_Toc422271233"/>
      <w:r>
        <w:rPr>
          <w:rFonts w:hint="eastAsia" w:ascii="仿宋" w:hAnsi="仿宋" w:eastAsia="仿宋" w:cs="仿宋"/>
          <w:color w:val="auto"/>
          <w:sz w:val="21"/>
          <w:szCs w:val="21"/>
          <w:highlight w:val="none"/>
        </w:rPr>
        <w:t>3.3 评审结果</w:t>
      </w:r>
      <w:bookmarkEnd w:id="184"/>
      <w:bookmarkEnd w:id="185"/>
      <w:bookmarkEnd w:id="186"/>
      <w:bookmarkEnd w:id="187"/>
      <w:bookmarkEnd w:id="188"/>
      <w:bookmarkEnd w:id="189"/>
    </w:p>
    <w:bookmarkEnd w:id="182"/>
    <w:bookmarkEnd w:id="183"/>
    <w:p w14:paraId="28D4002A">
      <w:pPr>
        <w:spacing w:line="360" w:lineRule="auto"/>
        <w:ind w:firstLine="420" w:firstLineChars="200"/>
        <w:jc w:val="left"/>
        <w:outlineLvl w:val="1"/>
        <w:rPr>
          <w:rFonts w:ascii="仿宋" w:hAnsi="仿宋" w:eastAsia="仿宋" w:cs="仿宋"/>
          <w:color w:val="auto"/>
          <w:szCs w:val="21"/>
          <w:highlight w:val="none"/>
        </w:rPr>
      </w:pPr>
      <w:bookmarkStart w:id="190" w:name="_Toc27418"/>
      <w:bookmarkStart w:id="191" w:name="_Toc19485"/>
      <w:bookmarkStart w:id="192" w:name="_Toc5886"/>
      <w:bookmarkStart w:id="193" w:name="_Toc30843"/>
      <w:r>
        <w:rPr>
          <w:rFonts w:hint="eastAsia" w:ascii="仿宋" w:hAnsi="仿宋" w:eastAsia="仿宋" w:cs="仿宋"/>
          <w:color w:val="auto"/>
          <w:szCs w:val="21"/>
          <w:highlight w:val="none"/>
        </w:rPr>
        <w:t>3.3.1磋商小组按磋商申请文件满足磋商文件全部实质性要求且综合评分得分由高到低的顺序推荐成交候选人，并编写评审报告。完成评定后，磋商小组须在评审结果推荐意见上共同签字。磋商小组成员对评审报告有异议的，磋商小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bookmarkEnd w:id="190"/>
      <w:bookmarkEnd w:id="191"/>
      <w:bookmarkEnd w:id="192"/>
      <w:bookmarkEnd w:id="193"/>
    </w:p>
    <w:p w14:paraId="72964EAA">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3.3.2磋商小组成员根据本评标办法规定的打分内容独立打分（分值保留整数），并署名确认。磋商小组按照供应商最后平均得分高低排序，推荐出前三名</w:t>
      </w:r>
      <w:r>
        <w:rPr>
          <w:rFonts w:hint="eastAsia" w:ascii="仿宋" w:hAnsi="仿宋" w:eastAsia="仿宋" w:cs="仿宋"/>
          <w:color w:val="auto"/>
          <w:szCs w:val="21"/>
          <w:highlight w:val="none"/>
          <w:lang w:val="en-US" w:eastAsia="zh-CN"/>
        </w:rPr>
        <w:t>成交</w:t>
      </w:r>
      <w:r>
        <w:rPr>
          <w:rFonts w:hint="eastAsia" w:ascii="仿宋" w:hAnsi="仿宋" w:eastAsia="仿宋" w:cs="仿宋"/>
          <w:color w:val="auto"/>
          <w:szCs w:val="21"/>
          <w:highlight w:val="none"/>
        </w:rPr>
        <w:t>候选人。评审得分相同的，按照最后报价由低到高的顺序推荐。评审得分且最后报价相同的，按照技术指标优劣顺序推荐。对评审结论有不同意见的可书面阐述不同意见和理由。</w:t>
      </w:r>
    </w:p>
    <w:p w14:paraId="233B1D7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3.3.3未尽事宜及评审过程中如遇特殊情况由磋商小组依据相关法律、法规集体研究确定。</w:t>
      </w:r>
    </w:p>
    <w:p w14:paraId="55A5189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3.3.4统计分数原则：报价评分通过计算得出，技术部分及商务部分得分通过各评委打分计算出的平均分值作为供应商的技术得分（分值保留小数点后两位），供应商的最终得分为报价评分、技术得分与商务部分得分之和（分值保留小数点后两位）。</w:t>
      </w:r>
    </w:p>
    <w:p w14:paraId="1DC5A7AE">
      <w:pPr>
        <w:keepNext/>
        <w:keepLines/>
        <w:numPr>
          <w:ilvl w:val="2"/>
          <w:numId w:val="11"/>
        </w:numPr>
        <w:tabs>
          <w:tab w:val="left" w:pos="0"/>
        </w:tabs>
        <w:spacing w:before="120" w:after="120" w:line="360" w:lineRule="auto"/>
        <w:outlineLvl w:val="2"/>
        <w:rPr>
          <w:rFonts w:ascii="仿宋" w:hAnsi="仿宋" w:eastAsia="仿宋" w:cs="仿宋"/>
          <w:b/>
          <w:bCs/>
          <w:color w:val="auto"/>
          <w:szCs w:val="21"/>
          <w:highlight w:val="none"/>
        </w:rPr>
      </w:pPr>
      <w:bookmarkStart w:id="194" w:name="_Toc14774"/>
      <w:bookmarkStart w:id="195" w:name="_Toc961"/>
      <w:r>
        <w:rPr>
          <w:rFonts w:hint="eastAsia" w:ascii="仿宋" w:hAnsi="仿宋" w:eastAsia="仿宋" w:cs="仿宋"/>
          <w:b/>
          <w:bCs/>
          <w:color w:val="auto"/>
          <w:szCs w:val="21"/>
          <w:highlight w:val="none"/>
        </w:rPr>
        <w:t>4.定标</w:t>
      </w:r>
      <w:bookmarkEnd w:id="194"/>
      <w:bookmarkEnd w:id="195"/>
    </w:p>
    <w:p w14:paraId="3B14DE82">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4.1磋商小组所有成员集中与通过符合性评审的磋商申请人分别进行最终磋商报价，磋商申请人在规定时间内以书面形式递交磋商承诺及最终报价。</w:t>
      </w:r>
    </w:p>
    <w:p w14:paraId="7D3FBDCE">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4.2经磋商确定最终采购需求和通过初审提交最后报价的磋商申请人后，由磋商小组采用综合评分法对提交最后报价的磋商申请人的磋商申请文件和最后报价进行综合评分。</w:t>
      </w:r>
    </w:p>
    <w:p w14:paraId="40E60F6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4.3磋商小组按磋商申请文件满足磋商文件全部实质性要求且综合评分得分由高到低的顺序推荐成交候选人。</w:t>
      </w:r>
      <w:r>
        <w:rPr>
          <w:rFonts w:hint="eastAsia" w:ascii="仿宋" w:hAnsi="仿宋" w:eastAsia="仿宋" w:cs="仿宋"/>
          <w:bCs/>
          <w:color w:val="auto"/>
          <w:szCs w:val="21"/>
          <w:highlight w:val="none"/>
        </w:rPr>
        <w:t>最终评审得分相同的，按照最后报价由低到高的顺序推荐。评审得分且最后报价相同的，按照技术指标优劣顺序推荐。</w:t>
      </w:r>
    </w:p>
    <w:p w14:paraId="53DEE137">
      <w:pPr>
        <w:keepNext/>
        <w:keepLines/>
        <w:numPr>
          <w:ilvl w:val="2"/>
          <w:numId w:val="11"/>
        </w:numPr>
        <w:tabs>
          <w:tab w:val="left" w:pos="0"/>
        </w:tabs>
        <w:spacing w:before="120" w:after="120" w:line="360" w:lineRule="auto"/>
        <w:outlineLvl w:val="2"/>
        <w:rPr>
          <w:rFonts w:ascii="仿宋" w:hAnsi="仿宋" w:eastAsia="仿宋" w:cs="仿宋"/>
          <w:b/>
          <w:bCs/>
          <w:color w:val="auto"/>
          <w:szCs w:val="21"/>
          <w:highlight w:val="none"/>
        </w:rPr>
      </w:pPr>
      <w:bookmarkStart w:id="196" w:name="_Toc530383241"/>
      <w:bookmarkStart w:id="197" w:name="_Toc8892"/>
      <w:bookmarkStart w:id="198" w:name="_Toc16789"/>
      <w:bookmarkStart w:id="199" w:name="_Toc13220"/>
      <w:bookmarkStart w:id="200" w:name="_Toc25714"/>
      <w:bookmarkStart w:id="201" w:name="_Toc526954581"/>
      <w:bookmarkStart w:id="202" w:name="_Toc12443"/>
      <w:bookmarkStart w:id="203" w:name="_Toc14337"/>
      <w:r>
        <w:rPr>
          <w:rFonts w:hint="eastAsia" w:ascii="仿宋" w:hAnsi="仿宋" w:eastAsia="仿宋" w:cs="仿宋"/>
          <w:b/>
          <w:bCs/>
          <w:color w:val="auto"/>
          <w:szCs w:val="21"/>
          <w:highlight w:val="none"/>
        </w:rPr>
        <w:t>5.推荐候选人</w:t>
      </w:r>
      <w:bookmarkEnd w:id="196"/>
      <w:bookmarkEnd w:id="197"/>
      <w:bookmarkEnd w:id="198"/>
      <w:bookmarkEnd w:id="199"/>
      <w:bookmarkEnd w:id="200"/>
      <w:bookmarkEnd w:id="201"/>
      <w:bookmarkEnd w:id="202"/>
      <w:bookmarkEnd w:id="203"/>
    </w:p>
    <w:p w14:paraId="631BDB61">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5.1磋商小组按照供应商最后得分高低排序，推荐出前三名</w:t>
      </w:r>
      <w:r>
        <w:rPr>
          <w:rFonts w:hint="eastAsia" w:ascii="仿宋" w:hAnsi="仿宋" w:eastAsia="仿宋" w:cs="仿宋"/>
          <w:color w:val="auto"/>
          <w:szCs w:val="21"/>
          <w:highlight w:val="none"/>
          <w:lang w:val="en-US" w:eastAsia="zh-CN"/>
        </w:rPr>
        <w:t>成交</w:t>
      </w:r>
      <w:r>
        <w:rPr>
          <w:rFonts w:hint="eastAsia" w:ascii="仿宋" w:hAnsi="仿宋" w:eastAsia="仿宋" w:cs="仿宋"/>
          <w:color w:val="auto"/>
          <w:szCs w:val="21"/>
          <w:highlight w:val="none"/>
        </w:rPr>
        <w:t>候选人。当确定中标的第一中标候选人放弃中标或者因不可抗力提出不能履行合同的，视为放弃中标，采购人可以依序确定其他中标候选人为中标人。</w:t>
      </w:r>
    </w:p>
    <w:p w14:paraId="25B28272">
      <w:pPr>
        <w:spacing w:line="360" w:lineRule="auto"/>
        <w:ind w:firstLine="464" w:firstLineChars="221"/>
        <w:rPr>
          <w:rFonts w:ascii="仿宋" w:hAnsi="仿宋" w:eastAsia="仿宋" w:cs="仿宋"/>
          <w:color w:val="auto"/>
          <w:szCs w:val="21"/>
          <w:highlight w:val="none"/>
        </w:rPr>
      </w:pPr>
      <w:r>
        <w:rPr>
          <w:rFonts w:hint="eastAsia" w:ascii="仿宋" w:hAnsi="仿宋" w:eastAsia="仿宋" w:cs="仿宋"/>
          <w:color w:val="auto"/>
          <w:szCs w:val="21"/>
          <w:highlight w:val="none"/>
        </w:rPr>
        <w:t>5.2本次采购合同将授予实质上响应竞争性磋商文件要求、投标价合理、技术支持和服务能力好、能够满足履行合同义务且得分最高的供应商。</w:t>
      </w:r>
    </w:p>
    <w:p w14:paraId="49FC8868">
      <w:pPr>
        <w:spacing w:line="360" w:lineRule="auto"/>
        <w:ind w:firstLine="420"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5.3磋商小组经评审，认为所有投标均不符合竞争性磋商文件要求的，可以否决所有投标；所有投标被否决后，采购人应当依法重新采购。</w:t>
      </w:r>
    </w:p>
    <w:p w14:paraId="5193C634">
      <w:pPr>
        <w:pStyle w:val="39"/>
        <w:rPr>
          <w:rFonts w:ascii="仿宋" w:hAnsi="仿宋" w:eastAsia="仿宋" w:cs="仿宋"/>
          <w:color w:val="auto"/>
          <w:szCs w:val="21"/>
          <w:highlight w:val="none"/>
        </w:rPr>
      </w:pPr>
    </w:p>
    <w:p w14:paraId="0C2E7F2B">
      <w:pPr>
        <w:widowControl/>
        <w:jc w:val="left"/>
        <w:rPr>
          <w:rFonts w:ascii="仿宋" w:hAnsi="仿宋" w:eastAsia="仿宋" w:cs="仿宋"/>
          <w:b/>
          <w:bCs/>
          <w:color w:val="auto"/>
          <w:sz w:val="32"/>
          <w:szCs w:val="28"/>
          <w:highlight w:val="none"/>
        </w:rPr>
      </w:pPr>
      <w:r>
        <w:rPr>
          <w:rFonts w:hint="eastAsia" w:ascii="仿宋" w:hAnsi="仿宋" w:eastAsia="仿宋" w:cs="仿宋"/>
          <w:b/>
          <w:bCs/>
          <w:color w:val="auto"/>
          <w:sz w:val="32"/>
          <w:szCs w:val="28"/>
          <w:highlight w:val="none"/>
        </w:rPr>
        <w:br w:type="page"/>
      </w:r>
      <w:r>
        <w:rPr>
          <w:rFonts w:hint="eastAsia" w:ascii="仿宋" w:hAnsi="仿宋" w:eastAsia="仿宋" w:cs="仿宋"/>
          <w:b/>
          <w:bCs/>
          <w:color w:val="auto"/>
          <w:sz w:val="32"/>
          <w:szCs w:val="28"/>
          <w:highlight w:val="none"/>
        </w:rPr>
        <w:t>附件：</w:t>
      </w:r>
    </w:p>
    <w:p w14:paraId="26008878">
      <w:pPr>
        <w:spacing w:line="360" w:lineRule="auto"/>
        <w:jc w:val="center"/>
        <w:rPr>
          <w:rFonts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最终（二次）报价函</w:t>
      </w:r>
    </w:p>
    <w:p w14:paraId="41BB11C2">
      <w:pPr>
        <w:spacing w:line="360" w:lineRule="auto"/>
        <w:jc w:val="left"/>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项目名称：云南省昆明市官渡区人民政府长水街道办事处202</w:t>
      </w:r>
      <w:r>
        <w:rPr>
          <w:rFonts w:hint="eastAsia" w:ascii="仿宋" w:hAnsi="仿宋" w:eastAsia="仿宋" w:cs="仿宋"/>
          <w:b/>
          <w:bCs/>
          <w:color w:val="auto"/>
          <w:sz w:val="22"/>
          <w:szCs w:val="22"/>
          <w:highlight w:val="none"/>
          <w:lang w:val="en-US" w:eastAsia="zh-CN"/>
        </w:rPr>
        <w:t>5</w:t>
      </w:r>
      <w:r>
        <w:rPr>
          <w:rFonts w:hint="eastAsia" w:ascii="仿宋" w:hAnsi="仿宋" w:eastAsia="仿宋" w:cs="仿宋"/>
          <w:b/>
          <w:bCs/>
          <w:color w:val="auto"/>
          <w:sz w:val="22"/>
          <w:szCs w:val="22"/>
          <w:highlight w:val="none"/>
        </w:rPr>
        <w:t>-202</w:t>
      </w:r>
      <w:r>
        <w:rPr>
          <w:rFonts w:hint="eastAsia" w:ascii="仿宋" w:hAnsi="仿宋" w:eastAsia="仿宋" w:cs="仿宋"/>
          <w:b/>
          <w:bCs/>
          <w:color w:val="auto"/>
          <w:sz w:val="22"/>
          <w:szCs w:val="22"/>
          <w:highlight w:val="none"/>
          <w:lang w:val="en-US" w:eastAsia="zh-CN"/>
        </w:rPr>
        <w:t>6</w:t>
      </w:r>
      <w:r>
        <w:rPr>
          <w:rFonts w:hint="eastAsia" w:ascii="仿宋" w:hAnsi="仿宋" w:eastAsia="仿宋" w:cs="仿宋"/>
          <w:b/>
          <w:bCs/>
          <w:color w:val="auto"/>
          <w:sz w:val="22"/>
          <w:szCs w:val="22"/>
          <w:highlight w:val="none"/>
        </w:rPr>
        <w:t>年度招标代理</w:t>
      </w:r>
      <w:r>
        <w:rPr>
          <w:rFonts w:hint="eastAsia" w:ascii="仿宋" w:hAnsi="仿宋" w:eastAsia="仿宋" w:cs="仿宋"/>
          <w:b/>
          <w:bCs/>
          <w:color w:val="auto"/>
          <w:sz w:val="22"/>
          <w:szCs w:val="22"/>
          <w:highlight w:val="none"/>
          <w:lang w:val="en-US" w:eastAsia="zh-CN"/>
        </w:rPr>
        <w:t>服务单位采购</w:t>
      </w:r>
    </w:p>
    <w:p w14:paraId="3F77245F">
      <w:pPr>
        <w:spacing w:line="360" w:lineRule="auto"/>
        <w:ind w:right="-638" w:rightChars="-304"/>
        <w:jc w:val="left"/>
        <w:rPr>
          <w:rFonts w:hint="eastAsia" w:ascii="仿宋" w:hAnsi="仿宋" w:eastAsia="仿宋" w:cs="仿宋"/>
          <w:color w:val="auto"/>
          <w:sz w:val="24"/>
          <w:highlight w:val="none"/>
        </w:rPr>
      </w:pPr>
      <w:r>
        <w:rPr>
          <w:rFonts w:hint="eastAsia" w:ascii="仿宋" w:hAnsi="仿宋" w:eastAsia="仿宋" w:cs="仿宋"/>
          <w:b/>
          <w:bCs/>
          <w:color w:val="auto"/>
          <w:sz w:val="22"/>
          <w:szCs w:val="22"/>
          <w:highlight w:val="none"/>
        </w:rPr>
        <w:t>项目编号：</w:t>
      </w:r>
      <w:r>
        <w:rPr>
          <w:rFonts w:hint="eastAsia" w:ascii="仿宋" w:hAnsi="仿宋" w:eastAsia="仿宋" w:cs="仿宋"/>
          <w:b/>
          <w:bCs/>
          <w:color w:val="auto"/>
          <w:sz w:val="22"/>
          <w:szCs w:val="22"/>
          <w:highlight w:val="none"/>
          <w:lang w:val="en-US" w:eastAsia="zh-CN"/>
        </w:rPr>
        <w:t xml:space="preserve"> </w:t>
      </w:r>
    </w:p>
    <w:tbl>
      <w:tblPr>
        <w:tblStyle w:val="107"/>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18"/>
        <w:gridCol w:w="4761"/>
        <w:gridCol w:w="2212"/>
      </w:tblGrid>
      <w:tr w14:paraId="36D8E0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6" w:hRule="atLeast"/>
        </w:trPr>
        <w:tc>
          <w:tcPr>
            <w:tcW w:w="927" w:type="dxa"/>
            <w:vAlign w:val="top"/>
          </w:tcPr>
          <w:p w14:paraId="1C8F8C01">
            <w:pPr>
              <w:pStyle w:val="109"/>
              <w:spacing w:before="258" w:line="221" w:lineRule="auto"/>
              <w:ind w:left="171"/>
              <w:rPr>
                <w:rFonts w:hint="eastAsia" w:ascii="仿宋" w:hAnsi="仿宋" w:eastAsia="仿宋" w:cs="仿宋"/>
                <w:color w:val="auto"/>
                <w:sz w:val="22"/>
                <w:szCs w:val="22"/>
              </w:rPr>
            </w:pPr>
            <w:r>
              <w:rPr>
                <w:rFonts w:hint="eastAsia" w:ascii="仿宋" w:hAnsi="仿宋" w:eastAsia="仿宋" w:cs="仿宋"/>
                <w:b/>
                <w:bCs/>
                <w:color w:val="auto"/>
                <w:spacing w:val="-7"/>
                <w:sz w:val="22"/>
                <w:szCs w:val="22"/>
              </w:rPr>
              <w:t>序号</w:t>
            </w:r>
          </w:p>
        </w:tc>
        <w:tc>
          <w:tcPr>
            <w:tcW w:w="1918" w:type="dxa"/>
            <w:vAlign w:val="top"/>
          </w:tcPr>
          <w:p w14:paraId="5F4ADF94">
            <w:pPr>
              <w:pStyle w:val="109"/>
              <w:spacing w:before="259" w:line="220" w:lineRule="auto"/>
              <w:ind w:left="737"/>
              <w:rPr>
                <w:rFonts w:hint="eastAsia" w:ascii="仿宋" w:hAnsi="仿宋" w:eastAsia="仿宋" w:cs="仿宋"/>
                <w:color w:val="auto"/>
                <w:sz w:val="22"/>
                <w:szCs w:val="22"/>
              </w:rPr>
            </w:pPr>
            <w:r>
              <w:rPr>
                <w:rFonts w:hint="eastAsia" w:ascii="仿宋" w:hAnsi="仿宋" w:eastAsia="仿宋" w:cs="仿宋"/>
                <w:b/>
                <w:bCs/>
                <w:color w:val="auto"/>
                <w:spacing w:val="-10"/>
                <w:sz w:val="22"/>
                <w:szCs w:val="22"/>
              </w:rPr>
              <w:t>项</w:t>
            </w:r>
            <w:r>
              <w:rPr>
                <w:rFonts w:hint="eastAsia" w:ascii="仿宋" w:hAnsi="仿宋" w:eastAsia="仿宋" w:cs="仿宋"/>
                <w:color w:val="auto"/>
                <w:spacing w:val="55"/>
                <w:sz w:val="22"/>
                <w:szCs w:val="22"/>
              </w:rPr>
              <w:t xml:space="preserve"> </w:t>
            </w:r>
            <w:r>
              <w:rPr>
                <w:rFonts w:hint="eastAsia" w:ascii="仿宋" w:hAnsi="仿宋" w:eastAsia="仿宋" w:cs="仿宋"/>
                <w:b/>
                <w:bCs/>
                <w:color w:val="auto"/>
                <w:spacing w:val="-10"/>
                <w:sz w:val="22"/>
                <w:szCs w:val="22"/>
              </w:rPr>
              <w:t>目</w:t>
            </w:r>
          </w:p>
        </w:tc>
        <w:tc>
          <w:tcPr>
            <w:tcW w:w="4761" w:type="dxa"/>
            <w:vAlign w:val="top"/>
          </w:tcPr>
          <w:p w14:paraId="4C9CF37A">
            <w:pPr>
              <w:pStyle w:val="109"/>
              <w:spacing w:before="259" w:line="219" w:lineRule="auto"/>
              <w:ind w:left="1686"/>
              <w:rPr>
                <w:rFonts w:hint="eastAsia" w:ascii="仿宋" w:hAnsi="仿宋" w:eastAsia="仿宋" w:cs="仿宋"/>
                <w:color w:val="auto"/>
                <w:sz w:val="22"/>
                <w:szCs w:val="22"/>
              </w:rPr>
            </w:pPr>
            <w:r>
              <w:rPr>
                <w:rFonts w:hint="eastAsia" w:ascii="仿宋" w:hAnsi="仿宋" w:eastAsia="仿宋" w:cs="仿宋"/>
                <w:b/>
                <w:bCs/>
                <w:color w:val="auto"/>
                <w:spacing w:val="-22"/>
                <w:sz w:val="22"/>
                <w:szCs w:val="22"/>
              </w:rPr>
              <w:t>内</w:t>
            </w:r>
            <w:r>
              <w:rPr>
                <w:rFonts w:hint="eastAsia" w:ascii="仿宋" w:hAnsi="仿宋" w:eastAsia="仿宋" w:cs="仿宋"/>
                <w:b/>
                <w:bCs/>
                <w:color w:val="auto"/>
                <w:spacing w:val="-22"/>
                <w:sz w:val="22"/>
                <w:szCs w:val="22"/>
                <w:lang w:val="en-US" w:eastAsia="zh-CN"/>
              </w:rPr>
              <w:t xml:space="preserve">    </w:t>
            </w:r>
            <w:r>
              <w:rPr>
                <w:rFonts w:hint="eastAsia" w:ascii="仿宋" w:hAnsi="仿宋" w:eastAsia="仿宋" w:cs="仿宋"/>
                <w:b/>
                <w:bCs/>
                <w:color w:val="auto"/>
                <w:spacing w:val="-22"/>
                <w:sz w:val="22"/>
                <w:szCs w:val="22"/>
              </w:rPr>
              <w:t>容</w:t>
            </w:r>
          </w:p>
        </w:tc>
        <w:tc>
          <w:tcPr>
            <w:tcW w:w="2212" w:type="dxa"/>
            <w:vAlign w:val="top"/>
          </w:tcPr>
          <w:p w14:paraId="1460A6F3">
            <w:pPr>
              <w:pStyle w:val="109"/>
              <w:spacing w:before="181" w:line="221" w:lineRule="auto"/>
              <w:ind w:firstLine="811" w:firstLineChars="400"/>
              <w:rPr>
                <w:rFonts w:hint="eastAsia" w:ascii="仿宋" w:hAnsi="仿宋" w:eastAsia="仿宋" w:cs="仿宋"/>
                <w:color w:val="auto"/>
                <w:sz w:val="22"/>
                <w:szCs w:val="22"/>
              </w:rPr>
            </w:pPr>
            <w:r>
              <w:rPr>
                <w:rFonts w:hint="eastAsia" w:ascii="仿宋" w:hAnsi="仿宋" w:eastAsia="仿宋" w:cs="仿宋"/>
                <w:b/>
                <w:bCs/>
                <w:color w:val="auto"/>
                <w:spacing w:val="-9"/>
                <w:sz w:val="22"/>
                <w:szCs w:val="22"/>
              </w:rPr>
              <w:t>备</w:t>
            </w:r>
            <w:r>
              <w:rPr>
                <w:rFonts w:hint="eastAsia" w:ascii="仿宋" w:hAnsi="仿宋" w:eastAsia="仿宋" w:cs="仿宋"/>
                <w:color w:val="auto"/>
                <w:spacing w:val="9"/>
                <w:sz w:val="22"/>
                <w:szCs w:val="22"/>
                <w:lang w:val="en-US" w:eastAsia="zh-CN"/>
              </w:rPr>
              <w:t xml:space="preserve"> </w:t>
            </w:r>
            <w:r>
              <w:rPr>
                <w:rFonts w:hint="eastAsia" w:ascii="仿宋" w:hAnsi="仿宋" w:eastAsia="仿宋" w:cs="仿宋"/>
                <w:b/>
                <w:bCs/>
                <w:color w:val="auto"/>
                <w:spacing w:val="-9"/>
                <w:sz w:val="22"/>
                <w:szCs w:val="22"/>
              </w:rPr>
              <w:t>注</w:t>
            </w:r>
          </w:p>
        </w:tc>
      </w:tr>
      <w:tr w14:paraId="439A93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0" w:hRule="atLeast"/>
        </w:trPr>
        <w:tc>
          <w:tcPr>
            <w:tcW w:w="927" w:type="dxa"/>
            <w:vAlign w:val="top"/>
          </w:tcPr>
          <w:p w14:paraId="6DB58926">
            <w:pPr>
              <w:spacing w:line="266" w:lineRule="auto"/>
              <w:rPr>
                <w:rFonts w:hint="eastAsia" w:ascii="仿宋" w:hAnsi="仿宋" w:eastAsia="仿宋" w:cs="仿宋"/>
                <w:color w:val="auto"/>
                <w:sz w:val="20"/>
                <w:szCs w:val="22"/>
              </w:rPr>
            </w:pPr>
          </w:p>
          <w:p w14:paraId="2FA79D6A">
            <w:pPr>
              <w:spacing w:line="266" w:lineRule="auto"/>
              <w:rPr>
                <w:rFonts w:hint="eastAsia" w:ascii="仿宋" w:hAnsi="仿宋" w:eastAsia="仿宋" w:cs="仿宋"/>
                <w:color w:val="auto"/>
                <w:sz w:val="20"/>
                <w:szCs w:val="22"/>
              </w:rPr>
            </w:pPr>
          </w:p>
          <w:p w14:paraId="4A0546B6">
            <w:pPr>
              <w:pStyle w:val="109"/>
              <w:spacing w:before="78" w:line="184" w:lineRule="auto"/>
              <w:ind w:left="310"/>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1</w:t>
            </w:r>
          </w:p>
        </w:tc>
        <w:tc>
          <w:tcPr>
            <w:tcW w:w="1918" w:type="dxa"/>
            <w:vAlign w:val="top"/>
          </w:tcPr>
          <w:p w14:paraId="4F7335A6">
            <w:pPr>
              <w:spacing w:line="264" w:lineRule="auto"/>
              <w:rPr>
                <w:rFonts w:hint="eastAsia" w:ascii="仿宋" w:hAnsi="仿宋" w:eastAsia="仿宋" w:cs="仿宋"/>
                <w:color w:val="auto"/>
                <w:sz w:val="20"/>
                <w:szCs w:val="22"/>
              </w:rPr>
            </w:pPr>
          </w:p>
          <w:p w14:paraId="0E34B18F">
            <w:pPr>
              <w:spacing w:line="264" w:lineRule="auto"/>
              <w:rPr>
                <w:rFonts w:hint="eastAsia" w:ascii="仿宋" w:hAnsi="仿宋" w:eastAsia="仿宋" w:cs="仿宋"/>
                <w:color w:val="auto"/>
                <w:sz w:val="20"/>
                <w:szCs w:val="22"/>
              </w:rPr>
            </w:pPr>
          </w:p>
          <w:p w14:paraId="565324B0">
            <w:pPr>
              <w:pStyle w:val="109"/>
              <w:spacing w:before="78" w:line="357" w:lineRule="auto"/>
              <w:ind w:right="326"/>
              <w:rPr>
                <w:rFonts w:hint="eastAsia" w:ascii="仿宋" w:hAnsi="仿宋" w:eastAsia="仿宋" w:cs="仿宋"/>
                <w:color w:val="auto"/>
                <w:sz w:val="22"/>
                <w:szCs w:val="22"/>
              </w:rPr>
            </w:pPr>
            <w:r>
              <w:rPr>
                <w:rFonts w:hint="eastAsia" w:ascii="仿宋" w:hAnsi="仿宋" w:eastAsia="仿宋" w:cs="仿宋"/>
                <w:b/>
                <w:bCs/>
                <w:color w:val="auto"/>
                <w:spacing w:val="-5"/>
                <w:sz w:val="22"/>
                <w:szCs w:val="22"/>
              </w:rPr>
              <w:t>磋商报价</w:t>
            </w:r>
            <w:r>
              <w:rPr>
                <w:rFonts w:hint="eastAsia" w:ascii="仿宋" w:hAnsi="仿宋" w:eastAsia="仿宋" w:cs="仿宋"/>
                <w:b/>
                <w:bCs/>
                <w:color w:val="auto"/>
                <w:spacing w:val="-8"/>
                <w:sz w:val="22"/>
                <w:szCs w:val="22"/>
              </w:rPr>
              <w:t>（下浮</w:t>
            </w:r>
            <w:r>
              <w:rPr>
                <w:rFonts w:hint="eastAsia" w:ascii="仿宋" w:hAnsi="仿宋" w:eastAsia="仿宋" w:cs="仿宋"/>
                <w:b/>
                <w:bCs/>
                <w:color w:val="auto"/>
                <w:spacing w:val="-8"/>
                <w:sz w:val="22"/>
                <w:szCs w:val="22"/>
                <w:lang w:val="en-US" w:eastAsia="zh-CN"/>
              </w:rPr>
              <w:t>%</w:t>
            </w:r>
            <w:r>
              <w:rPr>
                <w:rFonts w:hint="eastAsia" w:ascii="仿宋" w:hAnsi="仿宋" w:eastAsia="仿宋" w:cs="仿宋"/>
                <w:b/>
                <w:bCs/>
                <w:color w:val="auto"/>
                <w:spacing w:val="-8"/>
                <w:sz w:val="22"/>
                <w:szCs w:val="22"/>
              </w:rPr>
              <w:t>）</w:t>
            </w:r>
          </w:p>
        </w:tc>
        <w:tc>
          <w:tcPr>
            <w:tcW w:w="4761" w:type="dxa"/>
            <w:vAlign w:val="top"/>
          </w:tcPr>
          <w:p w14:paraId="7F1C499C">
            <w:pPr>
              <w:spacing w:line="260" w:lineRule="auto"/>
              <w:rPr>
                <w:rFonts w:hint="eastAsia" w:ascii="仿宋" w:hAnsi="仿宋" w:eastAsia="仿宋" w:cs="仿宋"/>
                <w:color w:val="auto"/>
                <w:sz w:val="20"/>
                <w:szCs w:val="22"/>
              </w:rPr>
            </w:pPr>
          </w:p>
          <w:p w14:paraId="0A995B0D">
            <w:pPr>
              <w:spacing w:line="260" w:lineRule="auto"/>
              <w:rPr>
                <w:rFonts w:hint="eastAsia" w:ascii="仿宋" w:hAnsi="仿宋" w:eastAsia="仿宋" w:cs="仿宋"/>
                <w:color w:val="auto"/>
                <w:sz w:val="20"/>
                <w:szCs w:val="22"/>
              </w:rPr>
            </w:pPr>
          </w:p>
          <w:p w14:paraId="472FD762">
            <w:pPr>
              <w:pStyle w:val="109"/>
              <w:spacing w:before="78" w:line="221" w:lineRule="auto"/>
              <w:ind w:left="1367"/>
              <w:rPr>
                <w:rFonts w:hint="eastAsia" w:ascii="仿宋" w:hAnsi="仿宋" w:eastAsia="仿宋" w:cs="仿宋"/>
                <w:color w:val="auto"/>
                <w:sz w:val="22"/>
                <w:szCs w:val="22"/>
              </w:rPr>
            </w:pPr>
            <w:r>
              <w:rPr>
                <w:rFonts w:hint="eastAsia" w:ascii="仿宋" w:hAnsi="仿宋" w:eastAsia="仿宋" w:cs="仿宋"/>
                <w:b/>
                <w:bCs/>
                <w:color w:val="auto"/>
                <w:spacing w:val="-9"/>
                <w:sz w:val="22"/>
                <w:szCs w:val="22"/>
              </w:rPr>
              <w:t>下浮</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color w:val="auto"/>
                <w:spacing w:val="1"/>
                <w:sz w:val="22"/>
                <w:szCs w:val="22"/>
                <w:u w:val="single" w:color="auto"/>
                <w:lang w:val="en-US" w:eastAsia="zh-CN"/>
              </w:rPr>
              <w:t xml:space="preserve">  </w:t>
            </w:r>
            <w:r>
              <w:rPr>
                <w:rFonts w:hint="eastAsia" w:ascii="仿宋" w:hAnsi="仿宋" w:eastAsia="仿宋" w:cs="仿宋"/>
                <w:color w:val="auto"/>
                <w:spacing w:val="1"/>
                <w:sz w:val="22"/>
                <w:szCs w:val="22"/>
                <w:u w:val="single" w:color="auto"/>
              </w:rPr>
              <w:t xml:space="preserve">  </w:t>
            </w:r>
            <w:r>
              <w:rPr>
                <w:rFonts w:hint="eastAsia" w:ascii="仿宋" w:hAnsi="仿宋" w:eastAsia="仿宋" w:cs="仿宋"/>
                <w:b/>
                <w:bCs/>
                <w:color w:val="auto"/>
                <w:spacing w:val="-9"/>
                <w:sz w:val="22"/>
                <w:szCs w:val="22"/>
              </w:rPr>
              <w:t>%</w:t>
            </w:r>
          </w:p>
        </w:tc>
        <w:tc>
          <w:tcPr>
            <w:tcW w:w="2212" w:type="dxa"/>
            <w:vAlign w:val="top"/>
          </w:tcPr>
          <w:p w14:paraId="4BFD18FC">
            <w:pPr>
              <w:pStyle w:val="109"/>
              <w:spacing w:before="27" w:line="237" w:lineRule="auto"/>
              <w:ind w:left="113" w:right="107" w:firstLine="1"/>
              <w:jc w:val="both"/>
              <w:rPr>
                <w:rFonts w:hint="eastAsia" w:ascii="仿宋" w:hAnsi="仿宋" w:eastAsia="仿宋" w:cs="仿宋"/>
                <w:color w:val="auto"/>
                <w:sz w:val="21"/>
                <w:szCs w:val="21"/>
              </w:rPr>
            </w:pPr>
          </w:p>
        </w:tc>
      </w:tr>
      <w:tr w14:paraId="069BE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3" w:hRule="atLeast"/>
        </w:trPr>
        <w:tc>
          <w:tcPr>
            <w:tcW w:w="927" w:type="dxa"/>
            <w:vAlign w:val="top"/>
          </w:tcPr>
          <w:p w14:paraId="4C30B7D3">
            <w:pPr>
              <w:pStyle w:val="109"/>
              <w:spacing w:before="78" w:line="183" w:lineRule="auto"/>
              <w:ind w:left="295"/>
              <w:rPr>
                <w:rFonts w:hint="eastAsia" w:ascii="仿宋" w:hAnsi="仿宋" w:eastAsia="仿宋" w:cs="仿宋"/>
                <w:b/>
                <w:bCs/>
                <w:color w:val="auto"/>
                <w:spacing w:val="-3"/>
                <w:sz w:val="22"/>
                <w:szCs w:val="22"/>
              </w:rPr>
            </w:pPr>
          </w:p>
          <w:p w14:paraId="0C973435">
            <w:pPr>
              <w:pStyle w:val="109"/>
              <w:spacing w:before="78" w:line="183" w:lineRule="auto"/>
              <w:ind w:left="295"/>
              <w:rPr>
                <w:rFonts w:hint="eastAsia" w:ascii="仿宋" w:hAnsi="仿宋" w:eastAsia="仿宋" w:cs="仿宋"/>
                <w:b/>
                <w:bCs/>
                <w:color w:val="auto"/>
                <w:spacing w:val="-3"/>
                <w:sz w:val="22"/>
                <w:szCs w:val="22"/>
              </w:rPr>
            </w:pPr>
          </w:p>
          <w:p w14:paraId="5D590B26">
            <w:pPr>
              <w:pStyle w:val="109"/>
              <w:spacing w:before="78" w:line="183" w:lineRule="auto"/>
              <w:ind w:left="295"/>
              <w:rPr>
                <w:rFonts w:hint="eastAsia" w:ascii="仿宋" w:hAnsi="仿宋" w:eastAsia="仿宋" w:cs="仿宋"/>
                <w:color w:val="auto"/>
                <w:sz w:val="22"/>
                <w:szCs w:val="22"/>
              </w:rPr>
            </w:pPr>
            <w:r>
              <w:rPr>
                <w:rFonts w:hint="eastAsia" w:ascii="仿宋" w:hAnsi="仿宋" w:eastAsia="仿宋" w:cs="仿宋"/>
                <w:b/>
                <w:bCs/>
                <w:color w:val="auto"/>
                <w:spacing w:val="-3"/>
                <w:sz w:val="22"/>
                <w:szCs w:val="22"/>
              </w:rPr>
              <w:t>2</w:t>
            </w:r>
          </w:p>
        </w:tc>
        <w:tc>
          <w:tcPr>
            <w:tcW w:w="1918" w:type="dxa"/>
            <w:vAlign w:val="top"/>
          </w:tcPr>
          <w:p w14:paraId="23EE359F">
            <w:pPr>
              <w:pStyle w:val="109"/>
              <w:spacing w:before="78" w:line="219" w:lineRule="auto"/>
              <w:rPr>
                <w:rFonts w:hint="eastAsia" w:ascii="仿宋" w:hAnsi="仿宋" w:eastAsia="仿宋" w:cs="仿宋"/>
                <w:b/>
                <w:bCs/>
                <w:color w:val="auto"/>
                <w:spacing w:val="-5"/>
                <w:sz w:val="22"/>
                <w:szCs w:val="22"/>
                <w:lang w:val="en-US" w:eastAsia="zh-CN"/>
              </w:rPr>
            </w:pPr>
          </w:p>
          <w:p w14:paraId="3BF084D1">
            <w:pPr>
              <w:pStyle w:val="109"/>
              <w:spacing w:before="78" w:line="219" w:lineRule="auto"/>
              <w:rPr>
                <w:rFonts w:hint="eastAsia" w:ascii="仿宋" w:hAnsi="仿宋" w:eastAsia="仿宋" w:cs="仿宋"/>
                <w:b/>
                <w:bCs/>
                <w:color w:val="auto"/>
                <w:spacing w:val="-5"/>
                <w:sz w:val="22"/>
                <w:szCs w:val="22"/>
                <w:lang w:val="en-US" w:eastAsia="zh-CN"/>
              </w:rPr>
            </w:pPr>
          </w:p>
          <w:p w14:paraId="64DCC153">
            <w:pPr>
              <w:pStyle w:val="109"/>
              <w:spacing w:before="78" w:line="219" w:lineRule="auto"/>
              <w:rPr>
                <w:rFonts w:hint="default" w:ascii="仿宋" w:hAnsi="仿宋" w:eastAsia="仿宋" w:cs="仿宋"/>
                <w:color w:val="auto"/>
                <w:sz w:val="22"/>
                <w:szCs w:val="22"/>
                <w:lang w:val="en-US" w:eastAsia="zh-CN"/>
              </w:rPr>
            </w:pPr>
            <w:r>
              <w:rPr>
                <w:rFonts w:hint="eastAsia" w:ascii="仿宋" w:hAnsi="仿宋" w:eastAsia="仿宋" w:cs="仿宋"/>
                <w:b/>
                <w:bCs/>
                <w:color w:val="auto"/>
                <w:spacing w:val="-5"/>
                <w:sz w:val="22"/>
                <w:szCs w:val="22"/>
                <w:lang w:val="en-US" w:eastAsia="zh-CN"/>
              </w:rPr>
              <w:t>其它补充的内容</w:t>
            </w:r>
          </w:p>
        </w:tc>
        <w:tc>
          <w:tcPr>
            <w:tcW w:w="4761" w:type="dxa"/>
            <w:vAlign w:val="top"/>
          </w:tcPr>
          <w:p w14:paraId="0307C38C">
            <w:pPr>
              <w:rPr>
                <w:rFonts w:hint="eastAsia" w:ascii="仿宋" w:hAnsi="仿宋" w:eastAsia="仿宋" w:cs="仿宋"/>
                <w:color w:val="auto"/>
                <w:sz w:val="20"/>
                <w:szCs w:val="22"/>
              </w:rPr>
            </w:pPr>
          </w:p>
        </w:tc>
        <w:tc>
          <w:tcPr>
            <w:tcW w:w="2212" w:type="dxa"/>
            <w:vAlign w:val="top"/>
          </w:tcPr>
          <w:p w14:paraId="20E36FAF">
            <w:pPr>
              <w:rPr>
                <w:rFonts w:hint="eastAsia" w:ascii="仿宋" w:hAnsi="仿宋" w:eastAsia="仿宋" w:cs="仿宋"/>
                <w:color w:val="auto"/>
                <w:sz w:val="20"/>
                <w:szCs w:val="22"/>
              </w:rPr>
            </w:pPr>
          </w:p>
        </w:tc>
      </w:tr>
    </w:tbl>
    <w:p w14:paraId="18D6601C">
      <w:pPr>
        <w:spacing w:line="600" w:lineRule="exact"/>
        <w:rPr>
          <w:rFonts w:hint="eastAsia" w:ascii="仿宋" w:hAnsi="仿宋" w:eastAsia="仿宋" w:cs="仿宋"/>
          <w:color w:val="auto"/>
          <w:sz w:val="24"/>
          <w:highlight w:val="none"/>
        </w:rPr>
      </w:pPr>
    </w:p>
    <w:p w14:paraId="16400572">
      <w:pPr>
        <w:spacing w:line="60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w:t>
      </w:r>
    </w:p>
    <w:p w14:paraId="320F0F5E">
      <w:pPr>
        <w:spacing w:line="600" w:lineRule="exact"/>
        <w:rPr>
          <w:rFonts w:ascii="仿宋" w:hAnsi="仿宋" w:eastAsia="仿宋" w:cs="仿宋"/>
          <w:color w:val="auto"/>
          <w:sz w:val="24"/>
          <w:highlight w:val="none"/>
          <w:u w:val="single"/>
        </w:rPr>
      </w:pPr>
      <w:r>
        <w:rPr>
          <w:rFonts w:hint="eastAsia" w:ascii="仿宋" w:hAnsi="仿宋" w:eastAsia="仿宋" w:cs="仿宋"/>
          <w:color w:val="auto"/>
          <w:sz w:val="24"/>
          <w:highlight w:val="none"/>
        </w:rPr>
        <w:t>供应商法定代表人或委托代理人（签字、按手印）：</w:t>
      </w:r>
    </w:p>
    <w:p w14:paraId="7778FABB">
      <w:pPr>
        <w:spacing w:line="600" w:lineRule="exact"/>
        <w:rPr>
          <w:rFonts w:ascii="仿宋" w:hAnsi="仿宋" w:eastAsia="仿宋" w:cs="仿宋"/>
          <w:color w:val="auto"/>
          <w:sz w:val="24"/>
          <w:highlight w:val="none"/>
        </w:rPr>
      </w:pPr>
      <w:r>
        <w:rPr>
          <w:rFonts w:hint="eastAsia" w:ascii="仿宋" w:hAnsi="仿宋" w:eastAsia="仿宋" w:cs="仿宋"/>
          <w:color w:val="auto"/>
          <w:sz w:val="24"/>
          <w:highlight w:val="none"/>
        </w:rPr>
        <w:t>填表时间：年   月   日</w:t>
      </w:r>
    </w:p>
    <w:p w14:paraId="514BB59B">
      <w:pPr>
        <w:rPr>
          <w:rFonts w:hint="eastAsia" w:ascii="仿宋" w:hAnsi="仿宋" w:eastAsia="仿宋" w:cs="仿宋"/>
          <w:b/>
          <w:bCs/>
          <w:color w:val="auto"/>
          <w:sz w:val="20"/>
          <w:szCs w:val="22"/>
          <w:highlight w:val="none"/>
        </w:rPr>
      </w:pPr>
    </w:p>
    <w:p w14:paraId="510B6B8B">
      <w:pPr>
        <w:rPr>
          <w:rFonts w:ascii="仿宋" w:hAnsi="仿宋" w:eastAsia="仿宋" w:cs="仿宋"/>
          <w:color w:val="auto"/>
          <w:sz w:val="20"/>
          <w:szCs w:val="22"/>
          <w:highlight w:val="none"/>
        </w:rPr>
      </w:pPr>
      <w:r>
        <w:rPr>
          <w:rFonts w:hint="eastAsia" w:ascii="仿宋" w:hAnsi="仿宋" w:eastAsia="仿宋" w:cs="仿宋"/>
          <w:b/>
          <w:bCs/>
          <w:color w:val="auto"/>
          <w:sz w:val="20"/>
          <w:szCs w:val="22"/>
          <w:highlight w:val="none"/>
        </w:rPr>
        <w:t>注：此表无需放入响应文件中，请自备2-3份签字、盖章后备用。</w:t>
      </w:r>
    </w:p>
    <w:sectPr>
      <w:footerReference r:id="rId10" w:type="default"/>
      <w:pgSz w:w="11906" w:h="16838"/>
      <w:pgMar w:top="1213" w:right="1040" w:bottom="1213" w:left="140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64FE">
    <w:pPr>
      <w:pStyle w:val="17"/>
      <w:wordWrap w:val="0"/>
      <w:ind w:right="90"/>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94E964">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depUsgBAACZ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FtQ68pcdziwM8/f5x//Tn//k7e&#10;Zn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XXqVLIAQAAmQMAAA4AAAAAAAAAAQAgAAAAHgEAAGRycy9lMm9Eb2Mu&#10;eG1sUEsFBgAAAAAGAAYAWQEAAFgFAAAAAA==&#10;">
              <v:fill on="f" focussize="0,0"/>
              <v:stroke on="f"/>
              <v:imagedata o:title=""/>
              <o:lock v:ext="edit" aspectratio="f"/>
              <v:textbox inset="0mm,0mm,0mm,0mm" style="mso-fit-shape-to-text:t;">
                <w:txbxContent>
                  <w:p w14:paraId="0994E964">
                    <w:pPr>
                      <w:pStyle w:val="17"/>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A095E7C">
                          <w:pPr>
                            <w:pStyle w:val="17"/>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TK2dTW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ZeXK/UC/+EQcbg8c+owwiLX5OBLZtbT1qVVeern&#10;qsc/bfM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GmCS9MAAAAFAQAADwAAAAAAAAABACAAAAAi&#10;AAAAZHJzL2Rvd25yZXYueG1sUEsBAhQAFAAAAAgAh07iQHTK2dTWAQAAsQMAAA4AAAAAAAAAAQAg&#10;AAAAIgEAAGRycy9lMm9Eb2MueG1sUEsFBgAAAAAGAAYAWQEAAGoFAAAAAA==&#10;">
              <v:fill on="f" focussize="0,0"/>
              <v:stroke on="f" weight="1.25pt"/>
              <v:imagedata o:title=""/>
              <o:lock v:ext="edit" aspectratio="f"/>
              <v:textbox inset="0mm,0mm,0mm,0mm" style="mso-fit-shape-to-text:t;">
                <w:txbxContent>
                  <w:p w14:paraId="5A095E7C">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70258">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BBD6919">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14:paraId="5BBD6919">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3A943">
    <w:pPr>
      <w:pStyle w:val="17"/>
      <w:wordWrap w:val="0"/>
      <w:ind w:right="90"/>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2E676">
                          <w:pPr>
                            <w:pStyle w:val="17"/>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14:paraId="2302E676">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67070">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D9FCA8F">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g71tydIBAACjAwAADgAAAAAAAAABACAAAAAi&#10;AQAAZHJzL2Uyb0RvYy54bWxQSwUGAAAAAAYABgBZAQAAZgUAAAAA&#10;">
              <v:fill on="f" focussize="0,0"/>
              <v:stroke on="f" weight="1.25pt"/>
              <v:imagedata o:title=""/>
              <o:lock v:ext="edit" aspectratio="f"/>
              <v:textbox inset="0mm,0mm,0mm,0mm" style="mso-fit-shape-to-text:t;">
                <w:txbxContent>
                  <w:p w14:paraId="7D9FCA8F">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0439">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209DDDB">
                          <w:pPr>
                            <w:pStyle w:val="17"/>
                          </w:pPr>
                          <w:r>
                            <w:fldChar w:fldCharType="begin"/>
                          </w:r>
                          <w:r>
                            <w:instrText xml:space="preserve"> PAGE  \* MERGEFORMAT </w:instrText>
                          </w:r>
                          <w:r>
                            <w:fldChar w:fldCharType="separate"/>
                          </w:r>
                          <w:r>
                            <w:t>30</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rR6vPdIBAACiAwAADgAAAAAAAAABACAAAAAfAQAA&#10;ZHJzL2Uyb0RvYy54bWxQSwUGAAAAAAYABgBZAQAAYwUAAAAA&#10;">
              <v:fill on="f" focussize="0,0"/>
              <v:stroke on="f" weight="0.5pt"/>
              <v:imagedata o:title=""/>
              <o:lock v:ext="edit" aspectratio="f"/>
              <v:textbox inset="0mm,0mm,0mm,0mm" style="mso-fit-shape-to-text:t;">
                <w:txbxContent>
                  <w:p w14:paraId="2209DDDB">
                    <w:pPr>
                      <w:pStyle w:val="1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0BBA">
    <w:pPr>
      <w:pStyle w:val="1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FAA58F6">
                          <w:pPr>
                            <w:pStyle w:val="17"/>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MDJwQdIBAACiAwAADgAAAAAAAAABACAAAAAfAQAA&#10;ZHJzL2Uyb0RvYy54bWxQSwUGAAAAAAYABgBZAQAAYwUAAAAA&#10;">
              <v:fill on="f" focussize="0,0"/>
              <v:stroke on="f" weight="0.5pt"/>
              <v:imagedata o:title=""/>
              <o:lock v:ext="edit" aspectratio="f"/>
              <v:textbox inset="0mm,0mm,0mm,0mm" style="mso-fit-shape-to-text:t;">
                <w:txbxContent>
                  <w:p w14:paraId="0FAA58F6">
                    <w:pPr>
                      <w:pStyle w:val="17"/>
                    </w:pPr>
                    <w:r>
                      <w:fldChar w:fldCharType="begin"/>
                    </w:r>
                    <w:r>
                      <w:instrText xml:space="preserve"> PAGE  \* MERGEFORMAT </w:instrText>
                    </w:r>
                    <w:r>
                      <w:fldChar w:fldCharType="separate"/>
                    </w:r>
                    <w:r>
                      <w:t>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F07CD">
    <w:pPr>
      <w:pBdr>
        <w:bottom w:val="single" w:color="auto" w:sz="6" w:space="1"/>
      </w:pBdr>
      <w:tabs>
        <w:tab w:val="center" w:pos="4153"/>
        <w:tab w:val="right" w:pos="8306"/>
      </w:tabs>
      <w:snapToGrid w:val="0"/>
      <w:rPr>
        <w:rFonts w:ascii="宋体" w:hAnsi="宋体" w:cs="黑体"/>
        <w:b/>
        <w:bCs/>
        <w:snapToGrid w:val="0"/>
        <w:color w:val="000000"/>
        <w:sz w:val="18"/>
        <w:szCs w:val="21"/>
      </w:rPr>
    </w:pPr>
    <w:r>
      <w:rPr>
        <w:rFonts w:hint="eastAsia" w:ascii="宋体" w:hAnsi="宋体" w:cs="黑体"/>
        <w:b/>
        <w:bCs/>
        <w:snapToGrid w:val="0"/>
        <w:color w:val="000000"/>
        <w:sz w:val="18"/>
        <w:szCs w:val="21"/>
      </w:rPr>
      <w:t>云南省昆明市官渡区人民政府长水街道办事处202</w:t>
    </w:r>
    <w:r>
      <w:rPr>
        <w:rFonts w:hint="eastAsia" w:ascii="宋体" w:hAnsi="宋体" w:cs="黑体"/>
        <w:b/>
        <w:bCs/>
        <w:snapToGrid w:val="0"/>
        <w:color w:val="000000"/>
        <w:sz w:val="18"/>
        <w:szCs w:val="21"/>
        <w:lang w:val="en-US" w:eastAsia="zh-CN"/>
      </w:rPr>
      <w:t>5</w:t>
    </w:r>
    <w:r>
      <w:rPr>
        <w:rFonts w:hint="eastAsia" w:ascii="宋体" w:hAnsi="宋体" w:cs="黑体"/>
        <w:b/>
        <w:bCs/>
        <w:snapToGrid w:val="0"/>
        <w:color w:val="000000"/>
        <w:sz w:val="18"/>
        <w:szCs w:val="21"/>
      </w:rPr>
      <w:t>-202</w:t>
    </w:r>
    <w:r>
      <w:rPr>
        <w:rFonts w:hint="eastAsia" w:ascii="宋体" w:hAnsi="宋体" w:cs="黑体"/>
        <w:b/>
        <w:bCs/>
        <w:snapToGrid w:val="0"/>
        <w:color w:val="000000"/>
        <w:sz w:val="18"/>
        <w:szCs w:val="21"/>
        <w:lang w:val="en-US" w:eastAsia="zh-CN"/>
      </w:rPr>
      <w:t>6</w:t>
    </w:r>
    <w:r>
      <w:rPr>
        <w:rFonts w:hint="eastAsia" w:ascii="宋体" w:hAnsi="宋体" w:cs="黑体"/>
        <w:b/>
        <w:bCs/>
        <w:snapToGrid w:val="0"/>
        <w:color w:val="000000"/>
        <w:sz w:val="18"/>
        <w:szCs w:val="21"/>
      </w:rPr>
      <w:t>年度招标代理</w:t>
    </w:r>
    <w:r>
      <w:rPr>
        <w:rFonts w:hint="eastAsia" w:ascii="宋体" w:hAnsi="宋体" w:cs="黑体"/>
        <w:b/>
        <w:bCs/>
        <w:snapToGrid w:val="0"/>
        <w:color w:val="000000"/>
        <w:sz w:val="18"/>
        <w:szCs w:val="21"/>
        <w:lang w:val="en-US" w:eastAsia="zh-CN"/>
      </w:rPr>
      <w:t>服务单位采购</w:t>
    </w:r>
    <w:r>
      <w:rPr>
        <w:rFonts w:hint="eastAsia" w:ascii="宋体" w:hAnsi="宋体" w:cs="黑体"/>
        <w:b/>
        <w:bCs/>
        <w:snapToGrid w:val="0"/>
        <w:color w:val="000000"/>
        <w:sz w:val="18"/>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667A">
    <w:pPr>
      <w:spacing w:line="218" w:lineRule="auto"/>
      <w:ind w:left="42"/>
      <w:rPr>
        <w:rFonts w:ascii="宋体" w:hAnsi="宋体" w:cs="宋体"/>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7F81A5"/>
    <w:multiLevelType w:val="singleLevel"/>
    <w:tmpl w:val="947F81A5"/>
    <w:lvl w:ilvl="0" w:tentative="0">
      <w:start w:val="5"/>
      <w:numFmt w:val="chineseCounting"/>
      <w:suff w:val="space"/>
      <w:lvlText w:val="第%1章"/>
      <w:lvlJc w:val="left"/>
      <w:rPr>
        <w:rFonts w:hint="eastAsia"/>
      </w:rPr>
    </w:lvl>
  </w:abstractNum>
  <w:abstractNum w:abstractNumId="1">
    <w:nsid w:val="9A1A1192"/>
    <w:multiLevelType w:val="singleLevel"/>
    <w:tmpl w:val="9A1A1192"/>
    <w:lvl w:ilvl="0" w:tentative="0">
      <w:start w:val="1"/>
      <w:numFmt w:val="decimal"/>
      <w:suff w:val="nothing"/>
      <w:lvlText w:val="%1、"/>
      <w:lvlJc w:val="left"/>
    </w:lvl>
  </w:abstractNum>
  <w:abstractNum w:abstractNumId="2">
    <w:nsid w:val="BFA8F1F3"/>
    <w:multiLevelType w:val="singleLevel"/>
    <w:tmpl w:val="BFA8F1F3"/>
    <w:lvl w:ilvl="0" w:tentative="0">
      <w:start w:val="1"/>
      <w:numFmt w:val="chineseCounting"/>
      <w:suff w:val="space"/>
      <w:lvlText w:val="第%1部分"/>
      <w:lvlJc w:val="left"/>
      <w:rPr>
        <w:rFonts w:hint="eastAsia"/>
      </w:rPr>
    </w:lvl>
  </w:abstractNum>
  <w:abstractNum w:abstractNumId="3">
    <w:nsid w:val="C8886246"/>
    <w:multiLevelType w:val="singleLevel"/>
    <w:tmpl w:val="C8886246"/>
    <w:lvl w:ilvl="0" w:tentative="0">
      <w:start w:val="1"/>
      <w:numFmt w:val="decimal"/>
      <w:suff w:val="space"/>
      <w:lvlText w:val="%1."/>
      <w:lvlJc w:val="left"/>
    </w:lvl>
  </w:abstractNum>
  <w:abstractNum w:abstractNumId="4">
    <w:nsid w:val="DA92EC15"/>
    <w:multiLevelType w:val="singleLevel"/>
    <w:tmpl w:val="DA92EC15"/>
    <w:lvl w:ilvl="0" w:tentative="0">
      <w:start w:val="2"/>
      <w:numFmt w:val="chineseCounting"/>
      <w:suff w:val="space"/>
      <w:lvlText w:val="第%1章"/>
      <w:lvlJc w:val="left"/>
      <w:rPr>
        <w:rFonts w:hint="eastAsia"/>
      </w:rPr>
    </w:lvl>
  </w:abstractNum>
  <w:abstractNum w:abstractNumId="5">
    <w:nsid w:val="FFC9DB4F"/>
    <w:multiLevelType w:val="singleLevel"/>
    <w:tmpl w:val="FFC9DB4F"/>
    <w:lvl w:ilvl="0" w:tentative="0">
      <w:start w:val="1"/>
      <w:numFmt w:val="chineseCounting"/>
      <w:suff w:val="nothing"/>
      <w:lvlText w:val="%1、"/>
      <w:lvlJc w:val="left"/>
      <w:rPr>
        <w:rFonts w:hint="eastAsia"/>
      </w:rPr>
    </w:lvl>
  </w:abstractNum>
  <w:abstractNum w:abstractNumId="6">
    <w:nsid w:val="00000008"/>
    <w:multiLevelType w:val="multilevel"/>
    <w:tmpl w:val="0000000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lang w:val="en-US"/>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
    <w:nsid w:val="14B77E8E"/>
    <w:multiLevelType w:val="singleLevel"/>
    <w:tmpl w:val="14B77E8E"/>
    <w:lvl w:ilvl="0" w:tentative="0">
      <w:start w:val="2"/>
      <w:numFmt w:val="decimal"/>
      <w:lvlText w:val="%1."/>
      <w:lvlJc w:val="left"/>
      <w:pPr>
        <w:tabs>
          <w:tab w:val="left" w:pos="312"/>
        </w:tabs>
      </w:pPr>
    </w:lvl>
  </w:abstractNum>
  <w:abstractNum w:abstractNumId="8">
    <w:nsid w:val="3D0BC733"/>
    <w:multiLevelType w:val="singleLevel"/>
    <w:tmpl w:val="3D0BC733"/>
    <w:lvl w:ilvl="0" w:tentative="0">
      <w:start w:val="3"/>
      <w:numFmt w:val="decimal"/>
      <w:suff w:val="nothing"/>
      <w:lvlText w:val="（%1）"/>
      <w:lvlJc w:val="left"/>
    </w:lvl>
  </w:abstractNum>
  <w:abstractNum w:abstractNumId="9">
    <w:nsid w:val="4A820F8A"/>
    <w:multiLevelType w:val="singleLevel"/>
    <w:tmpl w:val="4A820F8A"/>
    <w:lvl w:ilvl="0" w:tentative="0">
      <w:start w:val="2"/>
      <w:numFmt w:val="decimal"/>
      <w:lvlText w:val="%1."/>
      <w:lvlJc w:val="left"/>
      <w:pPr>
        <w:tabs>
          <w:tab w:val="left" w:pos="312"/>
        </w:tabs>
      </w:pPr>
    </w:lvl>
  </w:abstractNum>
  <w:abstractNum w:abstractNumId="10">
    <w:nsid w:val="79244BFD"/>
    <w:multiLevelType w:val="singleLevel"/>
    <w:tmpl w:val="79244BFD"/>
    <w:lvl w:ilvl="0" w:tentative="0">
      <w:start w:val="1"/>
      <w:numFmt w:val="decimal"/>
      <w:suff w:val="space"/>
      <w:lvlText w:val="%1."/>
      <w:lvlJc w:val="left"/>
    </w:lvl>
  </w:abstractNum>
  <w:num w:numId="1">
    <w:abstractNumId w:val="7"/>
  </w:num>
  <w:num w:numId="2">
    <w:abstractNumId w:val="4"/>
  </w:num>
  <w:num w:numId="3">
    <w:abstractNumId w:val="2"/>
  </w:num>
  <w:num w:numId="4">
    <w:abstractNumId w:val="8"/>
  </w:num>
  <w:num w:numId="5">
    <w:abstractNumId w:val="9"/>
  </w:num>
  <w:num w:numId="6">
    <w:abstractNumId w:val="10"/>
  </w:num>
  <w:num w:numId="7">
    <w:abstractNumId w:val="3"/>
  </w:num>
  <w:num w:numId="8">
    <w:abstractNumId w:val="1"/>
  </w:num>
  <w:num w:numId="9">
    <w:abstractNumId w:val="0"/>
  </w:num>
  <w:num w:numId="10">
    <w:abstractNumId w:val="5"/>
  </w:num>
  <w:num w:numId="11">
    <w:abstractNumId w:val="6"/>
    <w:lvlOverride w:ilvl="2">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瑾然">
    <w15:presenceInfo w15:providerId="None" w15:userId="瑾然"/>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4MzY3ZTk5YTA0YTBkNTQ3YWZiNzgwOWNiMWIzNmQifQ=="/>
  </w:docVars>
  <w:rsids>
    <w:rsidRoot w:val="2A256460"/>
    <w:rsid w:val="00042895"/>
    <w:rsid w:val="0007577B"/>
    <w:rsid w:val="000A415C"/>
    <w:rsid w:val="00140952"/>
    <w:rsid w:val="001A0EB7"/>
    <w:rsid w:val="00220C86"/>
    <w:rsid w:val="00245F68"/>
    <w:rsid w:val="00261C1E"/>
    <w:rsid w:val="00263D1D"/>
    <w:rsid w:val="002A52B0"/>
    <w:rsid w:val="002D74A1"/>
    <w:rsid w:val="002E56AF"/>
    <w:rsid w:val="003840EF"/>
    <w:rsid w:val="004563EE"/>
    <w:rsid w:val="00473FB4"/>
    <w:rsid w:val="004743F1"/>
    <w:rsid w:val="00481283"/>
    <w:rsid w:val="0055628E"/>
    <w:rsid w:val="00576FBF"/>
    <w:rsid w:val="00604409"/>
    <w:rsid w:val="006A269F"/>
    <w:rsid w:val="00706895"/>
    <w:rsid w:val="00770264"/>
    <w:rsid w:val="0079282B"/>
    <w:rsid w:val="007B470C"/>
    <w:rsid w:val="00895556"/>
    <w:rsid w:val="008D6237"/>
    <w:rsid w:val="008E5B9F"/>
    <w:rsid w:val="009322C6"/>
    <w:rsid w:val="00A73AAB"/>
    <w:rsid w:val="00A93B99"/>
    <w:rsid w:val="00C06F2C"/>
    <w:rsid w:val="00C11C1C"/>
    <w:rsid w:val="00C21D51"/>
    <w:rsid w:val="00C60CC8"/>
    <w:rsid w:val="00CC1EE6"/>
    <w:rsid w:val="00CC3845"/>
    <w:rsid w:val="00CE3591"/>
    <w:rsid w:val="00CF222B"/>
    <w:rsid w:val="00D012C3"/>
    <w:rsid w:val="00D05C5B"/>
    <w:rsid w:val="00D44A78"/>
    <w:rsid w:val="00D739F9"/>
    <w:rsid w:val="00DB72F2"/>
    <w:rsid w:val="00DB7CB5"/>
    <w:rsid w:val="00E73CFE"/>
    <w:rsid w:val="00E80846"/>
    <w:rsid w:val="00EA0131"/>
    <w:rsid w:val="00EA058C"/>
    <w:rsid w:val="00F6153F"/>
    <w:rsid w:val="00FD53CC"/>
    <w:rsid w:val="00FE17AC"/>
    <w:rsid w:val="00FF28CB"/>
    <w:rsid w:val="01052C00"/>
    <w:rsid w:val="01526A98"/>
    <w:rsid w:val="017C1420"/>
    <w:rsid w:val="01946BB9"/>
    <w:rsid w:val="021653B1"/>
    <w:rsid w:val="025C7268"/>
    <w:rsid w:val="027846A0"/>
    <w:rsid w:val="029A1B3E"/>
    <w:rsid w:val="02A91D81"/>
    <w:rsid w:val="02B14818"/>
    <w:rsid w:val="03035935"/>
    <w:rsid w:val="032B6C3A"/>
    <w:rsid w:val="03527837"/>
    <w:rsid w:val="037743F2"/>
    <w:rsid w:val="03931B61"/>
    <w:rsid w:val="03A40E03"/>
    <w:rsid w:val="03A930CE"/>
    <w:rsid w:val="03F45438"/>
    <w:rsid w:val="03FE7EAB"/>
    <w:rsid w:val="043B4C5B"/>
    <w:rsid w:val="043F1A6C"/>
    <w:rsid w:val="044E0E32"/>
    <w:rsid w:val="047069EE"/>
    <w:rsid w:val="048415DD"/>
    <w:rsid w:val="04A63369"/>
    <w:rsid w:val="04B17813"/>
    <w:rsid w:val="04C2712A"/>
    <w:rsid w:val="04D801EB"/>
    <w:rsid w:val="04E43544"/>
    <w:rsid w:val="050B039D"/>
    <w:rsid w:val="05143E2A"/>
    <w:rsid w:val="0523406D"/>
    <w:rsid w:val="05595CE0"/>
    <w:rsid w:val="05A843F5"/>
    <w:rsid w:val="05EF21A1"/>
    <w:rsid w:val="060E6ACB"/>
    <w:rsid w:val="06400DF3"/>
    <w:rsid w:val="0640521B"/>
    <w:rsid w:val="0659586C"/>
    <w:rsid w:val="069853EE"/>
    <w:rsid w:val="07256B46"/>
    <w:rsid w:val="072B5AC0"/>
    <w:rsid w:val="07342561"/>
    <w:rsid w:val="07350087"/>
    <w:rsid w:val="073F4714"/>
    <w:rsid w:val="075B5D40"/>
    <w:rsid w:val="075C2DEB"/>
    <w:rsid w:val="07CE4763"/>
    <w:rsid w:val="07DD44F0"/>
    <w:rsid w:val="07E01DA1"/>
    <w:rsid w:val="08000695"/>
    <w:rsid w:val="080D44F3"/>
    <w:rsid w:val="08193505"/>
    <w:rsid w:val="08236132"/>
    <w:rsid w:val="08420CAE"/>
    <w:rsid w:val="08426A2A"/>
    <w:rsid w:val="084E1401"/>
    <w:rsid w:val="08744B87"/>
    <w:rsid w:val="087D3A94"/>
    <w:rsid w:val="08A521A8"/>
    <w:rsid w:val="08A92ADB"/>
    <w:rsid w:val="08A93562"/>
    <w:rsid w:val="08D062B9"/>
    <w:rsid w:val="091B5B83"/>
    <w:rsid w:val="092108C3"/>
    <w:rsid w:val="09271C52"/>
    <w:rsid w:val="095739C2"/>
    <w:rsid w:val="09692B2B"/>
    <w:rsid w:val="099679FD"/>
    <w:rsid w:val="09EF5DBB"/>
    <w:rsid w:val="09F4207E"/>
    <w:rsid w:val="09F8320D"/>
    <w:rsid w:val="0A021F2E"/>
    <w:rsid w:val="0A4A209B"/>
    <w:rsid w:val="0A96708F"/>
    <w:rsid w:val="0AB319EF"/>
    <w:rsid w:val="0AE4196F"/>
    <w:rsid w:val="0AF135D1"/>
    <w:rsid w:val="0B330D82"/>
    <w:rsid w:val="0B3A3EBE"/>
    <w:rsid w:val="0B5459A6"/>
    <w:rsid w:val="0B6740B2"/>
    <w:rsid w:val="0B8345A3"/>
    <w:rsid w:val="0B8C2DBB"/>
    <w:rsid w:val="0C387086"/>
    <w:rsid w:val="0C5F4E7D"/>
    <w:rsid w:val="0C681B81"/>
    <w:rsid w:val="0C7D0506"/>
    <w:rsid w:val="0C8C0749"/>
    <w:rsid w:val="0CA14D28"/>
    <w:rsid w:val="0CAF61E6"/>
    <w:rsid w:val="0D1D75F3"/>
    <w:rsid w:val="0D2E35AF"/>
    <w:rsid w:val="0D3B5CCB"/>
    <w:rsid w:val="0D4E06B6"/>
    <w:rsid w:val="0D6C2329"/>
    <w:rsid w:val="0D75576C"/>
    <w:rsid w:val="0D913B3D"/>
    <w:rsid w:val="0DCD726B"/>
    <w:rsid w:val="0DDE764E"/>
    <w:rsid w:val="0DF23646"/>
    <w:rsid w:val="0E834BCC"/>
    <w:rsid w:val="0EF55F98"/>
    <w:rsid w:val="0EF91C17"/>
    <w:rsid w:val="0F021697"/>
    <w:rsid w:val="0F281C95"/>
    <w:rsid w:val="0F983B52"/>
    <w:rsid w:val="0FAB0EE6"/>
    <w:rsid w:val="0FC223C5"/>
    <w:rsid w:val="0FC63F72"/>
    <w:rsid w:val="0FE52C23"/>
    <w:rsid w:val="0FEC15CE"/>
    <w:rsid w:val="0FFD69CD"/>
    <w:rsid w:val="100D394F"/>
    <w:rsid w:val="10233CCF"/>
    <w:rsid w:val="103C5BE5"/>
    <w:rsid w:val="104135F9"/>
    <w:rsid w:val="105471BA"/>
    <w:rsid w:val="105B2A39"/>
    <w:rsid w:val="10AE5D60"/>
    <w:rsid w:val="10CE23DA"/>
    <w:rsid w:val="10EF574B"/>
    <w:rsid w:val="10F51F60"/>
    <w:rsid w:val="112A6193"/>
    <w:rsid w:val="11553800"/>
    <w:rsid w:val="1170425A"/>
    <w:rsid w:val="117B6295"/>
    <w:rsid w:val="117F152C"/>
    <w:rsid w:val="11B641AB"/>
    <w:rsid w:val="11E46932"/>
    <w:rsid w:val="11EE6B7F"/>
    <w:rsid w:val="11F10CE3"/>
    <w:rsid w:val="123D09B0"/>
    <w:rsid w:val="12495F2F"/>
    <w:rsid w:val="12592FC4"/>
    <w:rsid w:val="1283614B"/>
    <w:rsid w:val="1299596E"/>
    <w:rsid w:val="12D06EB6"/>
    <w:rsid w:val="130E0075"/>
    <w:rsid w:val="13201BEB"/>
    <w:rsid w:val="13370CE3"/>
    <w:rsid w:val="138F695D"/>
    <w:rsid w:val="13B858E1"/>
    <w:rsid w:val="14096B23"/>
    <w:rsid w:val="14186439"/>
    <w:rsid w:val="141C191D"/>
    <w:rsid w:val="144933C4"/>
    <w:rsid w:val="148B178D"/>
    <w:rsid w:val="14BC74F9"/>
    <w:rsid w:val="14FF2CD5"/>
    <w:rsid w:val="15154A15"/>
    <w:rsid w:val="1525684C"/>
    <w:rsid w:val="152D017B"/>
    <w:rsid w:val="156E4F8C"/>
    <w:rsid w:val="157B135B"/>
    <w:rsid w:val="158521DA"/>
    <w:rsid w:val="158E5532"/>
    <w:rsid w:val="158F3058"/>
    <w:rsid w:val="1593283B"/>
    <w:rsid w:val="15E81225"/>
    <w:rsid w:val="15F66C34"/>
    <w:rsid w:val="167B2B51"/>
    <w:rsid w:val="16981630"/>
    <w:rsid w:val="16AD27D1"/>
    <w:rsid w:val="16C278E3"/>
    <w:rsid w:val="16C3745D"/>
    <w:rsid w:val="16C4562D"/>
    <w:rsid w:val="16C9647B"/>
    <w:rsid w:val="16E506E7"/>
    <w:rsid w:val="16FC167B"/>
    <w:rsid w:val="1720040C"/>
    <w:rsid w:val="17355185"/>
    <w:rsid w:val="17491D4E"/>
    <w:rsid w:val="176D1CA8"/>
    <w:rsid w:val="176E561B"/>
    <w:rsid w:val="179468C6"/>
    <w:rsid w:val="17A33B8A"/>
    <w:rsid w:val="17C03249"/>
    <w:rsid w:val="18291542"/>
    <w:rsid w:val="185540E5"/>
    <w:rsid w:val="185B0A2F"/>
    <w:rsid w:val="18A105FC"/>
    <w:rsid w:val="18BB267A"/>
    <w:rsid w:val="18C65302"/>
    <w:rsid w:val="18D9400A"/>
    <w:rsid w:val="190C51D6"/>
    <w:rsid w:val="192604AC"/>
    <w:rsid w:val="193C34F7"/>
    <w:rsid w:val="19466124"/>
    <w:rsid w:val="194B527C"/>
    <w:rsid w:val="19522F52"/>
    <w:rsid w:val="195F45C7"/>
    <w:rsid w:val="19686EC7"/>
    <w:rsid w:val="19801636"/>
    <w:rsid w:val="19851548"/>
    <w:rsid w:val="19AF7323"/>
    <w:rsid w:val="19BC2C75"/>
    <w:rsid w:val="19E75211"/>
    <w:rsid w:val="1A0B3270"/>
    <w:rsid w:val="1A2024D1"/>
    <w:rsid w:val="1A5077B3"/>
    <w:rsid w:val="1A6D0F89"/>
    <w:rsid w:val="1A787D45"/>
    <w:rsid w:val="1A8213DE"/>
    <w:rsid w:val="1A8B6403"/>
    <w:rsid w:val="1A8F6EA3"/>
    <w:rsid w:val="1A9A6727"/>
    <w:rsid w:val="1AA44A44"/>
    <w:rsid w:val="1AD67034"/>
    <w:rsid w:val="1AE1108A"/>
    <w:rsid w:val="1AE23C2A"/>
    <w:rsid w:val="1B26620D"/>
    <w:rsid w:val="1B2D42C4"/>
    <w:rsid w:val="1B3A5814"/>
    <w:rsid w:val="1B9855D6"/>
    <w:rsid w:val="1BE7774A"/>
    <w:rsid w:val="1BF94A15"/>
    <w:rsid w:val="1C08730B"/>
    <w:rsid w:val="1C19367C"/>
    <w:rsid w:val="1C50434B"/>
    <w:rsid w:val="1CAC09D4"/>
    <w:rsid w:val="1CD37CCF"/>
    <w:rsid w:val="1D5E3A3C"/>
    <w:rsid w:val="1D666D95"/>
    <w:rsid w:val="1D7B0EAD"/>
    <w:rsid w:val="1D7E6398"/>
    <w:rsid w:val="1D9A259A"/>
    <w:rsid w:val="1D9C3624"/>
    <w:rsid w:val="1D9C6312"/>
    <w:rsid w:val="1DDD4BDA"/>
    <w:rsid w:val="1E417813"/>
    <w:rsid w:val="1E7A2AF8"/>
    <w:rsid w:val="1E905CCE"/>
    <w:rsid w:val="1E9516DF"/>
    <w:rsid w:val="1EA57449"/>
    <w:rsid w:val="1F0A67B0"/>
    <w:rsid w:val="1F30300A"/>
    <w:rsid w:val="1F5D75F6"/>
    <w:rsid w:val="1F7D3F22"/>
    <w:rsid w:val="1F8F4381"/>
    <w:rsid w:val="1F947BE9"/>
    <w:rsid w:val="1FF71F26"/>
    <w:rsid w:val="204C6262"/>
    <w:rsid w:val="20875058"/>
    <w:rsid w:val="20B61BD1"/>
    <w:rsid w:val="20D52267"/>
    <w:rsid w:val="20D65FDF"/>
    <w:rsid w:val="20E42E55"/>
    <w:rsid w:val="21317F52"/>
    <w:rsid w:val="213F162E"/>
    <w:rsid w:val="214E4660"/>
    <w:rsid w:val="215869F4"/>
    <w:rsid w:val="215A451A"/>
    <w:rsid w:val="216D7966"/>
    <w:rsid w:val="217D645B"/>
    <w:rsid w:val="218D13FD"/>
    <w:rsid w:val="219E4D4F"/>
    <w:rsid w:val="21A459CA"/>
    <w:rsid w:val="21A80B42"/>
    <w:rsid w:val="21B93937"/>
    <w:rsid w:val="21D97B35"/>
    <w:rsid w:val="21F2743A"/>
    <w:rsid w:val="220759F4"/>
    <w:rsid w:val="22247237"/>
    <w:rsid w:val="223213EC"/>
    <w:rsid w:val="22396826"/>
    <w:rsid w:val="22F455A3"/>
    <w:rsid w:val="230706D2"/>
    <w:rsid w:val="230D28C5"/>
    <w:rsid w:val="23D902C0"/>
    <w:rsid w:val="23D9449D"/>
    <w:rsid w:val="23F32C06"/>
    <w:rsid w:val="23FA0237"/>
    <w:rsid w:val="243F33FD"/>
    <w:rsid w:val="244D0366"/>
    <w:rsid w:val="24C51D80"/>
    <w:rsid w:val="24F61E26"/>
    <w:rsid w:val="251D5F8B"/>
    <w:rsid w:val="25262F8B"/>
    <w:rsid w:val="25583467"/>
    <w:rsid w:val="25905305"/>
    <w:rsid w:val="25EF1C1C"/>
    <w:rsid w:val="25F54301"/>
    <w:rsid w:val="260A6F37"/>
    <w:rsid w:val="260F621B"/>
    <w:rsid w:val="26F53825"/>
    <w:rsid w:val="2750640D"/>
    <w:rsid w:val="2756547A"/>
    <w:rsid w:val="276817C2"/>
    <w:rsid w:val="27824E35"/>
    <w:rsid w:val="278D39F6"/>
    <w:rsid w:val="278E0384"/>
    <w:rsid w:val="27A05FC1"/>
    <w:rsid w:val="27CA2D0F"/>
    <w:rsid w:val="27F43818"/>
    <w:rsid w:val="280F5CAC"/>
    <w:rsid w:val="28100029"/>
    <w:rsid w:val="283142E2"/>
    <w:rsid w:val="286B34B1"/>
    <w:rsid w:val="288376B0"/>
    <w:rsid w:val="28D43915"/>
    <w:rsid w:val="28E07281"/>
    <w:rsid w:val="28FE4325"/>
    <w:rsid w:val="29061502"/>
    <w:rsid w:val="29196BDA"/>
    <w:rsid w:val="29244880"/>
    <w:rsid w:val="2976210D"/>
    <w:rsid w:val="297B5976"/>
    <w:rsid w:val="29C67BCC"/>
    <w:rsid w:val="29F35BE6"/>
    <w:rsid w:val="29FE41F7"/>
    <w:rsid w:val="2A0D1FB9"/>
    <w:rsid w:val="2A256460"/>
    <w:rsid w:val="2A587A65"/>
    <w:rsid w:val="2A6A0554"/>
    <w:rsid w:val="2A6E7200"/>
    <w:rsid w:val="2AA333D6"/>
    <w:rsid w:val="2AD55FB6"/>
    <w:rsid w:val="2AE8528D"/>
    <w:rsid w:val="2B1B2F6C"/>
    <w:rsid w:val="2B210F43"/>
    <w:rsid w:val="2B5009A3"/>
    <w:rsid w:val="2C0559CB"/>
    <w:rsid w:val="2C0D2AE4"/>
    <w:rsid w:val="2C7566AC"/>
    <w:rsid w:val="2C7672CA"/>
    <w:rsid w:val="2CB43679"/>
    <w:rsid w:val="2D0C6420"/>
    <w:rsid w:val="2D1C652E"/>
    <w:rsid w:val="2D2A56E9"/>
    <w:rsid w:val="2D865E3F"/>
    <w:rsid w:val="2D957BDB"/>
    <w:rsid w:val="2DB651CE"/>
    <w:rsid w:val="2DB80F46"/>
    <w:rsid w:val="2DCD4971"/>
    <w:rsid w:val="2E09411C"/>
    <w:rsid w:val="2E0979F4"/>
    <w:rsid w:val="2E2E6CCD"/>
    <w:rsid w:val="2E3A275B"/>
    <w:rsid w:val="2E457B00"/>
    <w:rsid w:val="2E4C5B33"/>
    <w:rsid w:val="2E4E5407"/>
    <w:rsid w:val="2E70537D"/>
    <w:rsid w:val="2E906725"/>
    <w:rsid w:val="2EA30871"/>
    <w:rsid w:val="2EC817AC"/>
    <w:rsid w:val="2EE47719"/>
    <w:rsid w:val="2F151D1C"/>
    <w:rsid w:val="2F176141"/>
    <w:rsid w:val="2F3E191F"/>
    <w:rsid w:val="2F4405B8"/>
    <w:rsid w:val="2F4A0452"/>
    <w:rsid w:val="2F6358FF"/>
    <w:rsid w:val="2F827C01"/>
    <w:rsid w:val="2FBD163B"/>
    <w:rsid w:val="2FE427A4"/>
    <w:rsid w:val="30136690"/>
    <w:rsid w:val="30262AA2"/>
    <w:rsid w:val="302C1780"/>
    <w:rsid w:val="30330D58"/>
    <w:rsid w:val="30827099"/>
    <w:rsid w:val="30AD2E04"/>
    <w:rsid w:val="30CF59A6"/>
    <w:rsid w:val="30DD13AA"/>
    <w:rsid w:val="30EF351D"/>
    <w:rsid w:val="31592B0D"/>
    <w:rsid w:val="31745184"/>
    <w:rsid w:val="3175714F"/>
    <w:rsid w:val="318166E1"/>
    <w:rsid w:val="318F02CF"/>
    <w:rsid w:val="3196727B"/>
    <w:rsid w:val="31C73D7D"/>
    <w:rsid w:val="3220783F"/>
    <w:rsid w:val="325F51AD"/>
    <w:rsid w:val="32814631"/>
    <w:rsid w:val="32877139"/>
    <w:rsid w:val="329B4FCB"/>
    <w:rsid w:val="32B85545"/>
    <w:rsid w:val="32B9218F"/>
    <w:rsid w:val="32DC7D35"/>
    <w:rsid w:val="32E83B52"/>
    <w:rsid w:val="33114C55"/>
    <w:rsid w:val="3333663D"/>
    <w:rsid w:val="33661445"/>
    <w:rsid w:val="33A309AC"/>
    <w:rsid w:val="33A855B9"/>
    <w:rsid w:val="33AF4304"/>
    <w:rsid w:val="34386730"/>
    <w:rsid w:val="34432625"/>
    <w:rsid w:val="34480B4A"/>
    <w:rsid w:val="344D34A8"/>
    <w:rsid w:val="348151C9"/>
    <w:rsid w:val="34B166F0"/>
    <w:rsid w:val="34D31384"/>
    <w:rsid w:val="34D32BEC"/>
    <w:rsid w:val="34E16FD5"/>
    <w:rsid w:val="34E54FC4"/>
    <w:rsid w:val="34FA0097"/>
    <w:rsid w:val="35154ED0"/>
    <w:rsid w:val="3559242D"/>
    <w:rsid w:val="3566177A"/>
    <w:rsid w:val="357A6B39"/>
    <w:rsid w:val="35C4598D"/>
    <w:rsid w:val="35D642FA"/>
    <w:rsid w:val="36062A6B"/>
    <w:rsid w:val="360C62D3"/>
    <w:rsid w:val="36377CA5"/>
    <w:rsid w:val="36987BD5"/>
    <w:rsid w:val="36B3674F"/>
    <w:rsid w:val="36F23A33"/>
    <w:rsid w:val="36F31241"/>
    <w:rsid w:val="371B2276"/>
    <w:rsid w:val="37371B9F"/>
    <w:rsid w:val="374101FF"/>
    <w:rsid w:val="3752490C"/>
    <w:rsid w:val="3757357E"/>
    <w:rsid w:val="37592D6A"/>
    <w:rsid w:val="376A6A1A"/>
    <w:rsid w:val="37974B46"/>
    <w:rsid w:val="37D72911"/>
    <w:rsid w:val="37DD5669"/>
    <w:rsid w:val="37EA32DF"/>
    <w:rsid w:val="37F75FE5"/>
    <w:rsid w:val="37F83D4F"/>
    <w:rsid w:val="3837600C"/>
    <w:rsid w:val="38AC3225"/>
    <w:rsid w:val="38FF3ECD"/>
    <w:rsid w:val="39766429"/>
    <w:rsid w:val="397D1296"/>
    <w:rsid w:val="399E0505"/>
    <w:rsid w:val="39CA5201"/>
    <w:rsid w:val="39D15474"/>
    <w:rsid w:val="39D82C6A"/>
    <w:rsid w:val="3A020065"/>
    <w:rsid w:val="3A5A7A60"/>
    <w:rsid w:val="3A836438"/>
    <w:rsid w:val="3AB535CF"/>
    <w:rsid w:val="3AD65055"/>
    <w:rsid w:val="3AE81509"/>
    <w:rsid w:val="3AF85078"/>
    <w:rsid w:val="3B1654FE"/>
    <w:rsid w:val="3B57590C"/>
    <w:rsid w:val="3BAC562D"/>
    <w:rsid w:val="3BD16E98"/>
    <w:rsid w:val="3C0F161C"/>
    <w:rsid w:val="3C1020AE"/>
    <w:rsid w:val="3C1111AD"/>
    <w:rsid w:val="3C793F97"/>
    <w:rsid w:val="3C7F4265"/>
    <w:rsid w:val="3C8B29D5"/>
    <w:rsid w:val="3CC66AB0"/>
    <w:rsid w:val="3CE67069"/>
    <w:rsid w:val="3D057E61"/>
    <w:rsid w:val="3D0F3918"/>
    <w:rsid w:val="3D185CFA"/>
    <w:rsid w:val="3D281E05"/>
    <w:rsid w:val="3D4B5E95"/>
    <w:rsid w:val="3D5B18EE"/>
    <w:rsid w:val="3D6D1BD4"/>
    <w:rsid w:val="3D9649AE"/>
    <w:rsid w:val="3DEE17FA"/>
    <w:rsid w:val="3E465C51"/>
    <w:rsid w:val="3E603416"/>
    <w:rsid w:val="3E655960"/>
    <w:rsid w:val="3E6B41E4"/>
    <w:rsid w:val="3E6E7C10"/>
    <w:rsid w:val="3E93543A"/>
    <w:rsid w:val="3EB5502E"/>
    <w:rsid w:val="3EC534C3"/>
    <w:rsid w:val="3ED723E2"/>
    <w:rsid w:val="3EEA4CD8"/>
    <w:rsid w:val="3EEC2F11"/>
    <w:rsid w:val="3F680126"/>
    <w:rsid w:val="3F737401"/>
    <w:rsid w:val="3FE07E89"/>
    <w:rsid w:val="3FF34D12"/>
    <w:rsid w:val="4013200C"/>
    <w:rsid w:val="40524C53"/>
    <w:rsid w:val="40533A99"/>
    <w:rsid w:val="4070746C"/>
    <w:rsid w:val="4074072E"/>
    <w:rsid w:val="40E1035D"/>
    <w:rsid w:val="4120547D"/>
    <w:rsid w:val="417116E0"/>
    <w:rsid w:val="417B6C8D"/>
    <w:rsid w:val="41AE4DE5"/>
    <w:rsid w:val="41D725DF"/>
    <w:rsid w:val="41F335E3"/>
    <w:rsid w:val="41FC4211"/>
    <w:rsid w:val="42676EC9"/>
    <w:rsid w:val="427F0774"/>
    <w:rsid w:val="428E0070"/>
    <w:rsid w:val="42905B96"/>
    <w:rsid w:val="42956014"/>
    <w:rsid w:val="429D6505"/>
    <w:rsid w:val="429F14B7"/>
    <w:rsid w:val="42CB3072"/>
    <w:rsid w:val="42F8373B"/>
    <w:rsid w:val="432137DD"/>
    <w:rsid w:val="433D2C7A"/>
    <w:rsid w:val="434A5900"/>
    <w:rsid w:val="43564A9C"/>
    <w:rsid w:val="436D4129"/>
    <w:rsid w:val="43811983"/>
    <w:rsid w:val="438D20D6"/>
    <w:rsid w:val="4396542E"/>
    <w:rsid w:val="439D105B"/>
    <w:rsid w:val="43C90CCC"/>
    <w:rsid w:val="441B52F5"/>
    <w:rsid w:val="4474328A"/>
    <w:rsid w:val="44792370"/>
    <w:rsid w:val="447C7B62"/>
    <w:rsid w:val="448A3168"/>
    <w:rsid w:val="44C878C6"/>
    <w:rsid w:val="44DA134B"/>
    <w:rsid w:val="44E829C3"/>
    <w:rsid w:val="45033CF4"/>
    <w:rsid w:val="452659DD"/>
    <w:rsid w:val="45377A90"/>
    <w:rsid w:val="45991206"/>
    <w:rsid w:val="45C84B17"/>
    <w:rsid w:val="460F14C8"/>
    <w:rsid w:val="4615368E"/>
    <w:rsid w:val="464329AE"/>
    <w:rsid w:val="468E3D75"/>
    <w:rsid w:val="46AB11F1"/>
    <w:rsid w:val="46BB18C2"/>
    <w:rsid w:val="474051A7"/>
    <w:rsid w:val="47737835"/>
    <w:rsid w:val="4783109B"/>
    <w:rsid w:val="47B10686"/>
    <w:rsid w:val="48066AE7"/>
    <w:rsid w:val="48255D60"/>
    <w:rsid w:val="483D40CA"/>
    <w:rsid w:val="48563F77"/>
    <w:rsid w:val="48754898"/>
    <w:rsid w:val="48AF0131"/>
    <w:rsid w:val="48B06F92"/>
    <w:rsid w:val="491B2BB2"/>
    <w:rsid w:val="498E14BC"/>
    <w:rsid w:val="49C01457"/>
    <w:rsid w:val="49C5081B"/>
    <w:rsid w:val="4A086F62"/>
    <w:rsid w:val="4A3D4856"/>
    <w:rsid w:val="4A7D10F6"/>
    <w:rsid w:val="4A875F92"/>
    <w:rsid w:val="4ACC35FC"/>
    <w:rsid w:val="4AD30D16"/>
    <w:rsid w:val="4B0D5FE1"/>
    <w:rsid w:val="4B2E419E"/>
    <w:rsid w:val="4B3E2B4C"/>
    <w:rsid w:val="4B524331"/>
    <w:rsid w:val="4B63653E"/>
    <w:rsid w:val="4B647B33"/>
    <w:rsid w:val="4B6F76CC"/>
    <w:rsid w:val="4B856BD7"/>
    <w:rsid w:val="4B9776A9"/>
    <w:rsid w:val="4B9C5E8D"/>
    <w:rsid w:val="4BB16B1F"/>
    <w:rsid w:val="4BD27220"/>
    <w:rsid w:val="4BD5791D"/>
    <w:rsid w:val="4C286D27"/>
    <w:rsid w:val="4C654F04"/>
    <w:rsid w:val="4C6C4F66"/>
    <w:rsid w:val="4C6E4B8B"/>
    <w:rsid w:val="4C942727"/>
    <w:rsid w:val="4CAD5597"/>
    <w:rsid w:val="4D0C27BE"/>
    <w:rsid w:val="4D520685"/>
    <w:rsid w:val="4D6640C3"/>
    <w:rsid w:val="4D9263AF"/>
    <w:rsid w:val="4DC00E5B"/>
    <w:rsid w:val="4DDE2802"/>
    <w:rsid w:val="4E093CF7"/>
    <w:rsid w:val="4E1E6A6C"/>
    <w:rsid w:val="4E2A3581"/>
    <w:rsid w:val="4E3B5550"/>
    <w:rsid w:val="4E467A51"/>
    <w:rsid w:val="4E657E2A"/>
    <w:rsid w:val="4E944C60"/>
    <w:rsid w:val="4E9B2492"/>
    <w:rsid w:val="4EA824BA"/>
    <w:rsid w:val="4EAE4B5E"/>
    <w:rsid w:val="4EDB5908"/>
    <w:rsid w:val="4EDF237F"/>
    <w:rsid w:val="4EF569F1"/>
    <w:rsid w:val="4F18319B"/>
    <w:rsid w:val="4F1B1FEF"/>
    <w:rsid w:val="4F302BDB"/>
    <w:rsid w:val="4F774F62"/>
    <w:rsid w:val="4F884335"/>
    <w:rsid w:val="4F8D145F"/>
    <w:rsid w:val="4FAB1BEA"/>
    <w:rsid w:val="4FAD663C"/>
    <w:rsid w:val="4FB05ACA"/>
    <w:rsid w:val="4FBA24A4"/>
    <w:rsid w:val="4FBA7AF9"/>
    <w:rsid w:val="4FD0522A"/>
    <w:rsid w:val="4FF97471"/>
    <w:rsid w:val="503F09B5"/>
    <w:rsid w:val="504A7CCC"/>
    <w:rsid w:val="50AB003F"/>
    <w:rsid w:val="50C47D0B"/>
    <w:rsid w:val="50C555A5"/>
    <w:rsid w:val="50F52744"/>
    <w:rsid w:val="50F531AF"/>
    <w:rsid w:val="511F2457"/>
    <w:rsid w:val="512A365A"/>
    <w:rsid w:val="5130600F"/>
    <w:rsid w:val="513F23C9"/>
    <w:rsid w:val="514829A8"/>
    <w:rsid w:val="515D1884"/>
    <w:rsid w:val="51897D37"/>
    <w:rsid w:val="51F51EAD"/>
    <w:rsid w:val="51F9635E"/>
    <w:rsid w:val="52196AE1"/>
    <w:rsid w:val="5228367C"/>
    <w:rsid w:val="52500DCF"/>
    <w:rsid w:val="529324D5"/>
    <w:rsid w:val="52A23E0D"/>
    <w:rsid w:val="52B551A5"/>
    <w:rsid w:val="52C367B0"/>
    <w:rsid w:val="52ED494E"/>
    <w:rsid w:val="530E7412"/>
    <w:rsid w:val="53277CA2"/>
    <w:rsid w:val="537F34CA"/>
    <w:rsid w:val="539D6365"/>
    <w:rsid w:val="53B86CFB"/>
    <w:rsid w:val="53E130E1"/>
    <w:rsid w:val="53F51CFD"/>
    <w:rsid w:val="54001E70"/>
    <w:rsid w:val="54423A33"/>
    <w:rsid w:val="544646AC"/>
    <w:rsid w:val="54503973"/>
    <w:rsid w:val="54631F36"/>
    <w:rsid w:val="54752A66"/>
    <w:rsid w:val="548E3F00"/>
    <w:rsid w:val="54A6749B"/>
    <w:rsid w:val="54D45E48"/>
    <w:rsid w:val="54F8152C"/>
    <w:rsid w:val="550154F9"/>
    <w:rsid w:val="55106B3B"/>
    <w:rsid w:val="551B39E5"/>
    <w:rsid w:val="552D1F12"/>
    <w:rsid w:val="553009E8"/>
    <w:rsid w:val="553920BD"/>
    <w:rsid w:val="55482300"/>
    <w:rsid w:val="556A3E9B"/>
    <w:rsid w:val="5579070C"/>
    <w:rsid w:val="558261C5"/>
    <w:rsid w:val="55C63486"/>
    <w:rsid w:val="55C72ECE"/>
    <w:rsid w:val="55D75B20"/>
    <w:rsid w:val="56103369"/>
    <w:rsid w:val="56173FB4"/>
    <w:rsid w:val="563707AF"/>
    <w:rsid w:val="564B3E56"/>
    <w:rsid w:val="564E7084"/>
    <w:rsid w:val="56A959F8"/>
    <w:rsid w:val="56B57473"/>
    <w:rsid w:val="56E60023"/>
    <w:rsid w:val="56F84900"/>
    <w:rsid w:val="57114E0B"/>
    <w:rsid w:val="575371C8"/>
    <w:rsid w:val="57566F57"/>
    <w:rsid w:val="57AF2B0B"/>
    <w:rsid w:val="57EA769F"/>
    <w:rsid w:val="58025823"/>
    <w:rsid w:val="580A4108"/>
    <w:rsid w:val="58254B7B"/>
    <w:rsid w:val="58310CA3"/>
    <w:rsid w:val="583F4939"/>
    <w:rsid w:val="584B71F2"/>
    <w:rsid w:val="58791E30"/>
    <w:rsid w:val="587B0A01"/>
    <w:rsid w:val="58CE7028"/>
    <w:rsid w:val="58F509F1"/>
    <w:rsid w:val="59241CE4"/>
    <w:rsid w:val="59590F80"/>
    <w:rsid w:val="595B0854"/>
    <w:rsid w:val="596F4300"/>
    <w:rsid w:val="597E1F33"/>
    <w:rsid w:val="599975CF"/>
    <w:rsid w:val="59B27393"/>
    <w:rsid w:val="59C3232D"/>
    <w:rsid w:val="59EF71EF"/>
    <w:rsid w:val="5A1A5CEE"/>
    <w:rsid w:val="5A2F1CE1"/>
    <w:rsid w:val="5A41353C"/>
    <w:rsid w:val="5A814808"/>
    <w:rsid w:val="5A957D96"/>
    <w:rsid w:val="5ABA15AB"/>
    <w:rsid w:val="5ABE52C7"/>
    <w:rsid w:val="5AF32D0E"/>
    <w:rsid w:val="5B0311A3"/>
    <w:rsid w:val="5B114E7D"/>
    <w:rsid w:val="5B2A29A2"/>
    <w:rsid w:val="5B6A2FD1"/>
    <w:rsid w:val="5B6B0227"/>
    <w:rsid w:val="5B8C3B86"/>
    <w:rsid w:val="5BD36909"/>
    <w:rsid w:val="5BF46D3E"/>
    <w:rsid w:val="5BF82FC1"/>
    <w:rsid w:val="5C151B0C"/>
    <w:rsid w:val="5C1C624B"/>
    <w:rsid w:val="5C475CF4"/>
    <w:rsid w:val="5C4B2527"/>
    <w:rsid w:val="5C5872CD"/>
    <w:rsid w:val="5C6739B4"/>
    <w:rsid w:val="5C6C6567"/>
    <w:rsid w:val="5C9D1043"/>
    <w:rsid w:val="5C9F25A4"/>
    <w:rsid w:val="5CA31936"/>
    <w:rsid w:val="5CC03A58"/>
    <w:rsid w:val="5CC743E2"/>
    <w:rsid w:val="5CF0450C"/>
    <w:rsid w:val="5CFE60C6"/>
    <w:rsid w:val="5DB4024F"/>
    <w:rsid w:val="5DE92410"/>
    <w:rsid w:val="5E145476"/>
    <w:rsid w:val="5E2733FB"/>
    <w:rsid w:val="5E40626B"/>
    <w:rsid w:val="5EAE3C07"/>
    <w:rsid w:val="5ECA31F3"/>
    <w:rsid w:val="5EE035AA"/>
    <w:rsid w:val="5EEF438D"/>
    <w:rsid w:val="5F046EA6"/>
    <w:rsid w:val="5F0833B8"/>
    <w:rsid w:val="5F4D6E91"/>
    <w:rsid w:val="5F5A29A0"/>
    <w:rsid w:val="5F860D20"/>
    <w:rsid w:val="5FBF7663"/>
    <w:rsid w:val="5FC03B07"/>
    <w:rsid w:val="5FD311EA"/>
    <w:rsid w:val="5FD32E8F"/>
    <w:rsid w:val="5FD56E87"/>
    <w:rsid w:val="5FD937E5"/>
    <w:rsid w:val="5FF000A6"/>
    <w:rsid w:val="601435D3"/>
    <w:rsid w:val="60457B68"/>
    <w:rsid w:val="609D1752"/>
    <w:rsid w:val="60AB460C"/>
    <w:rsid w:val="61025A59"/>
    <w:rsid w:val="61091EC4"/>
    <w:rsid w:val="611F03B9"/>
    <w:rsid w:val="613227E3"/>
    <w:rsid w:val="61416958"/>
    <w:rsid w:val="61425BA5"/>
    <w:rsid w:val="61761FA3"/>
    <w:rsid w:val="617A4FDA"/>
    <w:rsid w:val="61B92AAF"/>
    <w:rsid w:val="61E24BFD"/>
    <w:rsid w:val="62227F38"/>
    <w:rsid w:val="62340EFA"/>
    <w:rsid w:val="6235102E"/>
    <w:rsid w:val="62412D9A"/>
    <w:rsid w:val="624922D8"/>
    <w:rsid w:val="625E1759"/>
    <w:rsid w:val="62913574"/>
    <w:rsid w:val="62BF3D17"/>
    <w:rsid w:val="62C92CD3"/>
    <w:rsid w:val="62E573E1"/>
    <w:rsid w:val="62F13A18"/>
    <w:rsid w:val="62F2144B"/>
    <w:rsid w:val="630261E5"/>
    <w:rsid w:val="633F11E7"/>
    <w:rsid w:val="63A4422E"/>
    <w:rsid w:val="63CB451F"/>
    <w:rsid w:val="640B731B"/>
    <w:rsid w:val="64584C0C"/>
    <w:rsid w:val="64717AF0"/>
    <w:rsid w:val="649B3C86"/>
    <w:rsid w:val="64A102BB"/>
    <w:rsid w:val="64D8544F"/>
    <w:rsid w:val="65046244"/>
    <w:rsid w:val="65071BEB"/>
    <w:rsid w:val="653B3C30"/>
    <w:rsid w:val="65603351"/>
    <w:rsid w:val="6569754E"/>
    <w:rsid w:val="65736F26"/>
    <w:rsid w:val="65F25BB3"/>
    <w:rsid w:val="65F30C83"/>
    <w:rsid w:val="663824E5"/>
    <w:rsid w:val="665B3C5A"/>
    <w:rsid w:val="6667223A"/>
    <w:rsid w:val="66707AF2"/>
    <w:rsid w:val="668054B1"/>
    <w:rsid w:val="66886A01"/>
    <w:rsid w:val="66897A0C"/>
    <w:rsid w:val="66BD5B9B"/>
    <w:rsid w:val="66F916AD"/>
    <w:rsid w:val="66FA0F2A"/>
    <w:rsid w:val="66FB5425"/>
    <w:rsid w:val="66FE6CC3"/>
    <w:rsid w:val="671169F6"/>
    <w:rsid w:val="674E7C4A"/>
    <w:rsid w:val="67884D6E"/>
    <w:rsid w:val="679E145D"/>
    <w:rsid w:val="67C12E69"/>
    <w:rsid w:val="67C73559"/>
    <w:rsid w:val="67DF1208"/>
    <w:rsid w:val="67F73E3E"/>
    <w:rsid w:val="680C3022"/>
    <w:rsid w:val="681C1AF7"/>
    <w:rsid w:val="68294213"/>
    <w:rsid w:val="6873723D"/>
    <w:rsid w:val="688D02FE"/>
    <w:rsid w:val="68C1444C"/>
    <w:rsid w:val="68D9403F"/>
    <w:rsid w:val="68EF1E86"/>
    <w:rsid w:val="68FC6B5A"/>
    <w:rsid w:val="69080DB4"/>
    <w:rsid w:val="69306892"/>
    <w:rsid w:val="69C577B3"/>
    <w:rsid w:val="69CB5582"/>
    <w:rsid w:val="69DB66E5"/>
    <w:rsid w:val="6A2A0A2B"/>
    <w:rsid w:val="6A5129F1"/>
    <w:rsid w:val="6A6F4B46"/>
    <w:rsid w:val="6A875C78"/>
    <w:rsid w:val="6A90620E"/>
    <w:rsid w:val="6AA61663"/>
    <w:rsid w:val="6AC45DE2"/>
    <w:rsid w:val="6AC532CD"/>
    <w:rsid w:val="6AEE1706"/>
    <w:rsid w:val="6B4355EC"/>
    <w:rsid w:val="6B5C045C"/>
    <w:rsid w:val="6B617732"/>
    <w:rsid w:val="6B6F63E1"/>
    <w:rsid w:val="6B7D29B3"/>
    <w:rsid w:val="6B7E74C2"/>
    <w:rsid w:val="6B8B372C"/>
    <w:rsid w:val="6BB31385"/>
    <w:rsid w:val="6BCD012A"/>
    <w:rsid w:val="6BF16622"/>
    <w:rsid w:val="6BFA01F0"/>
    <w:rsid w:val="6C180827"/>
    <w:rsid w:val="6C3F6172"/>
    <w:rsid w:val="6C41527C"/>
    <w:rsid w:val="6C586E75"/>
    <w:rsid w:val="6C6475C8"/>
    <w:rsid w:val="6C867919"/>
    <w:rsid w:val="6C9F3D2C"/>
    <w:rsid w:val="6CFC129A"/>
    <w:rsid w:val="6D0142AA"/>
    <w:rsid w:val="6D3A2339"/>
    <w:rsid w:val="6D657A9C"/>
    <w:rsid w:val="6D7A51D2"/>
    <w:rsid w:val="6D911E39"/>
    <w:rsid w:val="6E1D565A"/>
    <w:rsid w:val="6E2700E1"/>
    <w:rsid w:val="6E6C552A"/>
    <w:rsid w:val="6E9B6E93"/>
    <w:rsid w:val="6EB34C64"/>
    <w:rsid w:val="6EB83BFB"/>
    <w:rsid w:val="6EC15840"/>
    <w:rsid w:val="6ED004A9"/>
    <w:rsid w:val="6EED7D49"/>
    <w:rsid w:val="6F056BBA"/>
    <w:rsid w:val="6F1A049F"/>
    <w:rsid w:val="6F207DA8"/>
    <w:rsid w:val="6F5F5763"/>
    <w:rsid w:val="6F6049BF"/>
    <w:rsid w:val="6F7044D6"/>
    <w:rsid w:val="6F984AAF"/>
    <w:rsid w:val="6FA06B69"/>
    <w:rsid w:val="6FA663F0"/>
    <w:rsid w:val="70294DB1"/>
    <w:rsid w:val="704D1A15"/>
    <w:rsid w:val="70500E05"/>
    <w:rsid w:val="70A512BD"/>
    <w:rsid w:val="70AE3508"/>
    <w:rsid w:val="70BA1FF5"/>
    <w:rsid w:val="70C44501"/>
    <w:rsid w:val="70C60603"/>
    <w:rsid w:val="70C60851"/>
    <w:rsid w:val="70FC74BC"/>
    <w:rsid w:val="713003C1"/>
    <w:rsid w:val="713D663A"/>
    <w:rsid w:val="714828F7"/>
    <w:rsid w:val="716057E7"/>
    <w:rsid w:val="71D57881"/>
    <w:rsid w:val="729A3D44"/>
    <w:rsid w:val="72C20541"/>
    <w:rsid w:val="72C76B03"/>
    <w:rsid w:val="7341394F"/>
    <w:rsid w:val="734A4A2B"/>
    <w:rsid w:val="73872750"/>
    <w:rsid w:val="73CD0149"/>
    <w:rsid w:val="73F472C3"/>
    <w:rsid w:val="74061524"/>
    <w:rsid w:val="742A10F7"/>
    <w:rsid w:val="742E71DF"/>
    <w:rsid w:val="74416441"/>
    <w:rsid w:val="74542618"/>
    <w:rsid w:val="748D1A9B"/>
    <w:rsid w:val="74B34B0B"/>
    <w:rsid w:val="74C07CAE"/>
    <w:rsid w:val="759C4E9A"/>
    <w:rsid w:val="759F35A3"/>
    <w:rsid w:val="75AB1925"/>
    <w:rsid w:val="75EE5C4B"/>
    <w:rsid w:val="75EF770E"/>
    <w:rsid w:val="76120095"/>
    <w:rsid w:val="763B3A90"/>
    <w:rsid w:val="76481D09"/>
    <w:rsid w:val="768A40CF"/>
    <w:rsid w:val="76C515AB"/>
    <w:rsid w:val="76C577FD"/>
    <w:rsid w:val="76E90CF4"/>
    <w:rsid w:val="76FE7B49"/>
    <w:rsid w:val="77102747"/>
    <w:rsid w:val="77440EAC"/>
    <w:rsid w:val="775E5C88"/>
    <w:rsid w:val="777D1E86"/>
    <w:rsid w:val="77C82ECA"/>
    <w:rsid w:val="77EB5041"/>
    <w:rsid w:val="77F5035D"/>
    <w:rsid w:val="77F52B80"/>
    <w:rsid w:val="78065CF4"/>
    <w:rsid w:val="781D1A05"/>
    <w:rsid w:val="783A0B40"/>
    <w:rsid w:val="78550399"/>
    <w:rsid w:val="786464F8"/>
    <w:rsid w:val="78AA2807"/>
    <w:rsid w:val="78E1744B"/>
    <w:rsid w:val="78EB542B"/>
    <w:rsid w:val="79134850"/>
    <w:rsid w:val="79273289"/>
    <w:rsid w:val="795C63B5"/>
    <w:rsid w:val="79877A25"/>
    <w:rsid w:val="79E00583"/>
    <w:rsid w:val="7A752A91"/>
    <w:rsid w:val="7AB94F83"/>
    <w:rsid w:val="7AE13CEE"/>
    <w:rsid w:val="7B2353D7"/>
    <w:rsid w:val="7B242D44"/>
    <w:rsid w:val="7B40799A"/>
    <w:rsid w:val="7B5C738E"/>
    <w:rsid w:val="7B6156DC"/>
    <w:rsid w:val="7B98728E"/>
    <w:rsid w:val="7BD87885"/>
    <w:rsid w:val="7BE424D4"/>
    <w:rsid w:val="7BF00E78"/>
    <w:rsid w:val="7C2A25DC"/>
    <w:rsid w:val="7C3A3E3A"/>
    <w:rsid w:val="7C430CA5"/>
    <w:rsid w:val="7C4F557F"/>
    <w:rsid w:val="7C52568F"/>
    <w:rsid w:val="7C57783E"/>
    <w:rsid w:val="7C7E6484"/>
    <w:rsid w:val="7C987D6D"/>
    <w:rsid w:val="7D10094D"/>
    <w:rsid w:val="7D1E1C89"/>
    <w:rsid w:val="7D3348B6"/>
    <w:rsid w:val="7D401DED"/>
    <w:rsid w:val="7D433D05"/>
    <w:rsid w:val="7D464593"/>
    <w:rsid w:val="7D4E1A42"/>
    <w:rsid w:val="7D9B28E0"/>
    <w:rsid w:val="7E024E93"/>
    <w:rsid w:val="7E0E3838"/>
    <w:rsid w:val="7E156974"/>
    <w:rsid w:val="7E28281F"/>
    <w:rsid w:val="7E3B3C45"/>
    <w:rsid w:val="7E592370"/>
    <w:rsid w:val="7E751B09"/>
    <w:rsid w:val="7EB22415"/>
    <w:rsid w:val="7ECD54A1"/>
    <w:rsid w:val="7EE822DB"/>
    <w:rsid w:val="7EF04965"/>
    <w:rsid w:val="7F0E0F53"/>
    <w:rsid w:val="7F1E5461"/>
    <w:rsid w:val="7FC45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0"/>
    <w:qFormat/>
    <w:uiPriority w:val="0"/>
    <w:pPr>
      <w:keepNext/>
      <w:tabs>
        <w:tab w:val="left" w:pos="360"/>
      </w:tabs>
      <w:autoSpaceDE w:val="0"/>
      <w:autoSpaceDN w:val="0"/>
      <w:adjustRightInd w:val="0"/>
      <w:ind w:left="284" w:hanging="284"/>
      <w:jc w:val="left"/>
      <w:outlineLvl w:val="0"/>
    </w:pPr>
    <w:rPr>
      <w:rFonts w:ascii="仿宋_GB2312" w:eastAsia="仿宋_GB2312"/>
      <w:b/>
      <w:bCs/>
      <w:color w:val="000000"/>
      <w:kern w:val="0"/>
      <w:sz w:val="28"/>
      <w:szCs w:val="20"/>
    </w:rPr>
  </w:style>
  <w:style w:type="paragraph" w:styleId="4">
    <w:name w:val="heading 2"/>
    <w:basedOn w:val="1"/>
    <w:next w:val="1"/>
    <w:link w:val="41"/>
    <w:qFormat/>
    <w:uiPriority w:val="0"/>
    <w:pPr>
      <w:keepNext/>
      <w:keepLines/>
      <w:tabs>
        <w:tab w:val="left" w:pos="1021"/>
      </w:tabs>
      <w:spacing w:before="120" w:after="120" w:line="360" w:lineRule="auto"/>
      <w:ind w:left="1021" w:hanging="596"/>
      <w:jc w:val="center"/>
      <w:outlineLvl w:val="1"/>
    </w:pPr>
    <w:rPr>
      <w:rFonts w:ascii="Arial" w:hAnsi="Arial"/>
      <w:b/>
      <w:bCs/>
      <w:sz w:val="28"/>
      <w:szCs w:val="32"/>
    </w:rPr>
  </w:style>
  <w:style w:type="paragraph" w:styleId="5">
    <w:name w:val="heading 3"/>
    <w:basedOn w:val="1"/>
    <w:next w:val="1"/>
    <w:qFormat/>
    <w:uiPriority w:val="0"/>
    <w:pPr>
      <w:keepNext/>
      <w:keepLines/>
      <w:tabs>
        <w:tab w:val="left" w:pos="1588"/>
      </w:tabs>
      <w:spacing w:before="120" w:after="120" w:line="360" w:lineRule="auto"/>
      <w:ind w:left="1588" w:hanging="737"/>
      <w:jc w:val="center"/>
      <w:outlineLvl w:val="2"/>
    </w:pPr>
    <w:rPr>
      <w:rFonts w:ascii="宋体"/>
      <w:b/>
      <w:bCs/>
      <w:sz w:val="24"/>
      <w:szCs w:val="32"/>
    </w:rPr>
  </w:style>
  <w:style w:type="paragraph" w:styleId="6">
    <w:name w:val="heading 4"/>
    <w:basedOn w:val="1"/>
    <w:next w:val="1"/>
    <w:qFormat/>
    <w:uiPriority w:val="0"/>
    <w:pPr>
      <w:keepNext/>
      <w:keepLines/>
      <w:spacing w:line="372" w:lineRule="auto"/>
      <w:outlineLvl w:val="3"/>
    </w:pPr>
    <w:rPr>
      <w:rFonts w:ascii="Arial" w:hAnsi="Arial" w:eastAsia="黑体"/>
      <w:b/>
      <w:bCs/>
      <w:sz w:val="28"/>
      <w:szCs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2"/>
    <w:qFormat/>
    <w:uiPriority w:val="0"/>
    <w:pPr>
      <w:spacing w:after="120"/>
    </w:pPr>
  </w:style>
  <w:style w:type="paragraph" w:styleId="8">
    <w:name w:val="Normal Indent"/>
    <w:basedOn w:val="1"/>
    <w:qFormat/>
    <w:uiPriority w:val="0"/>
    <w:pPr>
      <w:tabs>
        <w:tab w:val="left" w:pos="750"/>
      </w:tabs>
      <w:spacing w:beforeLines="50" w:line="300" w:lineRule="auto"/>
      <w:ind w:firstLine="200" w:firstLineChars="200"/>
    </w:pPr>
    <w:rPr>
      <w:rFonts w:ascii="宋体"/>
      <w:szCs w:val="20"/>
    </w:rPr>
  </w:style>
  <w:style w:type="paragraph" w:styleId="9">
    <w:name w:val="Document Map"/>
    <w:basedOn w:val="1"/>
    <w:unhideWhenUsed/>
    <w:qFormat/>
    <w:uiPriority w:val="99"/>
    <w:rPr>
      <w:rFonts w:ascii="宋体"/>
      <w:sz w:val="18"/>
      <w:szCs w:val="18"/>
    </w:rPr>
  </w:style>
  <w:style w:type="paragraph" w:styleId="10">
    <w:name w:val="annotation text"/>
    <w:basedOn w:val="1"/>
    <w:qFormat/>
    <w:uiPriority w:val="0"/>
    <w:pPr>
      <w:jc w:val="left"/>
    </w:pPr>
  </w:style>
  <w:style w:type="paragraph" w:styleId="11">
    <w:name w:val="Body Text Indent"/>
    <w:basedOn w:val="1"/>
    <w:next w:val="1"/>
    <w:qFormat/>
    <w:uiPriority w:val="0"/>
    <w:pPr>
      <w:ind w:firstLine="200" w:firstLineChars="200"/>
      <w:jc w:val="left"/>
    </w:pPr>
    <w:rPr>
      <w:rFonts w:ascii="仿宋_GB2312" w:eastAsia="仿宋_GB2312"/>
      <w:sz w:val="28"/>
    </w:rPr>
  </w:style>
  <w:style w:type="paragraph" w:styleId="12">
    <w:name w:val="Block Text"/>
    <w:basedOn w:val="1"/>
    <w:next w:val="1"/>
    <w:qFormat/>
    <w:uiPriority w:val="0"/>
    <w:pPr>
      <w:spacing w:after="120"/>
      <w:ind w:left="1440" w:leftChars="700" w:right="1440" w:rightChars="700"/>
    </w:pPr>
    <w:rPr>
      <w:rFonts w:ascii="Calibri" w:hAnsi="Calibri"/>
    </w:rPr>
  </w:style>
  <w:style w:type="paragraph" w:styleId="13">
    <w:name w:val="toc 5"/>
    <w:basedOn w:val="1"/>
    <w:next w:val="1"/>
    <w:qFormat/>
    <w:uiPriority w:val="0"/>
    <w:pPr>
      <w:ind w:left="800" w:leftChars="800"/>
    </w:pPr>
  </w:style>
  <w:style w:type="paragraph" w:styleId="14">
    <w:name w:val="toc 3"/>
    <w:basedOn w:val="1"/>
    <w:next w:val="1"/>
    <w:qFormat/>
    <w:uiPriority w:val="39"/>
    <w:pPr>
      <w:tabs>
        <w:tab w:val="right" w:leader="dot" w:pos="9515"/>
      </w:tabs>
      <w:ind w:left="400" w:leftChars="400"/>
    </w:pPr>
  </w:style>
  <w:style w:type="paragraph" w:styleId="15">
    <w:name w:val="Plain Text"/>
    <w:basedOn w:val="1"/>
    <w:next w:val="1"/>
    <w:qFormat/>
    <w:uiPriority w:val="0"/>
    <w:pPr>
      <w:autoSpaceDE w:val="0"/>
      <w:autoSpaceDN w:val="0"/>
      <w:adjustRightInd w:val="0"/>
      <w:jc w:val="left"/>
    </w:pPr>
    <w:rPr>
      <w:rFonts w:ascii="宋体"/>
      <w:kern w:val="0"/>
      <w:sz w:val="20"/>
    </w:rPr>
  </w:style>
  <w:style w:type="paragraph" w:styleId="16">
    <w:name w:val="Body Text Indent 2"/>
    <w:basedOn w:val="1"/>
    <w:qFormat/>
    <w:uiPriority w:val="0"/>
    <w:pPr>
      <w:spacing w:line="480" w:lineRule="auto"/>
      <w:ind w:firstLine="480" w:firstLineChars="200"/>
    </w:pPr>
    <w:rPr>
      <w:rFonts w:ascii="宋体" w:hAnsi="宋体"/>
      <w:sz w:val="24"/>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unhideWhenUsed/>
    <w:qFormat/>
    <w:uiPriority w:val="99"/>
    <w:pPr>
      <w:snapToGrid w:val="0"/>
    </w:pPr>
    <w:rPr>
      <w:rFonts w:ascii="Arial" w:hAnsi="Arial" w:eastAsia="方正小标宋_GBK"/>
      <w:sz w:val="32"/>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style>
  <w:style w:type="paragraph" w:styleId="21">
    <w:name w:val="toc 2"/>
    <w:basedOn w:val="1"/>
    <w:next w:val="1"/>
    <w:qFormat/>
    <w:uiPriority w:val="39"/>
    <w:pPr>
      <w:ind w:left="60" w:firstLine="300"/>
    </w:pPr>
  </w:style>
  <w:style w:type="paragraph" w:styleId="22">
    <w:name w:val="Body Text 2"/>
    <w:basedOn w:val="1"/>
    <w:qFormat/>
    <w:uiPriority w:val="0"/>
    <w:rPr>
      <w:rFonts w:ascii="宋体"/>
      <w:sz w:val="13"/>
      <w:szCs w:val="20"/>
    </w:rPr>
  </w:style>
  <w:style w:type="paragraph" w:styleId="23">
    <w:name w:val="Normal (Web)"/>
    <w:basedOn w:val="1"/>
    <w:qFormat/>
    <w:uiPriority w:val="99"/>
    <w:pPr>
      <w:widowControl/>
      <w:spacing w:beforeAutospacing="1" w:afterAutospacing="1"/>
      <w:jc w:val="left"/>
    </w:pPr>
    <w:rPr>
      <w:rFonts w:hAnsi="宋体"/>
      <w:kern w:val="0"/>
      <w:sz w:val="24"/>
    </w:rPr>
  </w:style>
  <w:style w:type="paragraph" w:styleId="24">
    <w:name w:val="Title"/>
    <w:basedOn w:val="1"/>
    <w:next w:val="1"/>
    <w:qFormat/>
    <w:uiPriority w:val="0"/>
    <w:pPr>
      <w:adjustRightInd w:val="0"/>
      <w:spacing w:line="360" w:lineRule="atLeast"/>
      <w:jc w:val="center"/>
      <w:textAlignment w:val="baseline"/>
      <w:outlineLvl w:val="0"/>
    </w:pPr>
    <w:rPr>
      <w:rFonts w:ascii="Arial" w:hAnsi="Arial" w:cs="Arial"/>
      <w:b/>
      <w:bCs/>
      <w:kern w:val="0"/>
      <w:sz w:val="32"/>
      <w:szCs w:val="32"/>
    </w:rPr>
  </w:style>
  <w:style w:type="paragraph" w:styleId="25">
    <w:name w:val="Body Text First Indent"/>
    <w:basedOn w:val="2"/>
    <w:next w:val="26"/>
    <w:link w:val="43"/>
    <w:qFormat/>
    <w:uiPriority w:val="0"/>
    <w:pPr>
      <w:ind w:firstLine="420" w:firstLineChars="100"/>
    </w:pPr>
  </w:style>
  <w:style w:type="paragraph" w:styleId="26">
    <w:name w:val="Body Text First Indent 2"/>
    <w:basedOn w:val="11"/>
    <w:next w:val="1"/>
    <w:qFormat/>
    <w:uiPriority w:val="0"/>
    <w:pPr>
      <w:spacing w:after="120"/>
      <w:ind w:firstLine="420"/>
    </w:pPr>
    <w:rPr>
      <w:rFonts w:hAnsi="Calibri"/>
      <w:szCs w:val="22"/>
      <w:lang w:eastAsia="en-US"/>
    </w:rPr>
  </w:style>
  <w:style w:type="table" w:styleId="28">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296FBE"/>
      <w:u w:val="none"/>
    </w:rPr>
  </w:style>
  <w:style w:type="character" w:styleId="33">
    <w:name w:val="HTML Definition"/>
    <w:basedOn w:val="29"/>
    <w:qFormat/>
    <w:uiPriority w:val="0"/>
  </w:style>
  <w:style w:type="character" w:styleId="34">
    <w:name w:val="HTML Variable"/>
    <w:basedOn w:val="29"/>
    <w:unhideWhenUsed/>
    <w:qFormat/>
    <w:uiPriority w:val="0"/>
  </w:style>
  <w:style w:type="character" w:styleId="35">
    <w:name w:val="Hyperlink"/>
    <w:basedOn w:val="29"/>
    <w:qFormat/>
    <w:uiPriority w:val="0"/>
    <w:rPr>
      <w:color w:val="296FBE"/>
      <w:u w:val="none"/>
    </w:rPr>
  </w:style>
  <w:style w:type="character" w:styleId="36">
    <w:name w:val="HTML Code"/>
    <w:basedOn w:val="29"/>
    <w:qFormat/>
    <w:uiPriority w:val="0"/>
    <w:rPr>
      <w:rFonts w:ascii="微软雅黑" w:hAnsi="微软雅黑" w:eastAsia="微软雅黑" w:cs="微软雅黑"/>
      <w:sz w:val="20"/>
    </w:rPr>
  </w:style>
  <w:style w:type="character" w:styleId="37">
    <w:name w:val="annotation reference"/>
    <w:basedOn w:val="29"/>
    <w:qFormat/>
    <w:uiPriority w:val="0"/>
    <w:rPr>
      <w:sz w:val="21"/>
      <w:szCs w:val="21"/>
    </w:rPr>
  </w:style>
  <w:style w:type="character" w:styleId="38">
    <w:name w:val="HTML Cite"/>
    <w:basedOn w:val="29"/>
    <w:qFormat/>
    <w:uiPriority w:val="0"/>
  </w:style>
  <w:style w:type="paragraph" w:customStyle="1" w:styleId="39">
    <w:name w:val="Default"/>
    <w:basedOn w:val="24"/>
    <w:qFormat/>
    <w:uiPriority w:val="0"/>
    <w:pPr>
      <w:autoSpaceDE w:val="0"/>
      <w:autoSpaceDN w:val="0"/>
    </w:pPr>
    <w:rPr>
      <w:rFonts w:ascii="宋体" w:hAnsi="Times New Roman" w:cs="宋体"/>
      <w:color w:val="000000"/>
      <w:sz w:val="24"/>
      <w:szCs w:val="24"/>
    </w:rPr>
  </w:style>
  <w:style w:type="character" w:customStyle="1" w:styleId="40">
    <w:name w:val="标题 1 Char"/>
    <w:link w:val="3"/>
    <w:qFormat/>
    <w:uiPriority w:val="0"/>
    <w:rPr>
      <w:rFonts w:ascii="仿宋_GB2312" w:eastAsia="仿宋_GB2312"/>
      <w:b/>
      <w:bCs/>
      <w:color w:val="000000"/>
      <w:sz w:val="28"/>
    </w:rPr>
  </w:style>
  <w:style w:type="character" w:customStyle="1" w:styleId="41">
    <w:name w:val="标题 2 Char"/>
    <w:link w:val="4"/>
    <w:qFormat/>
    <w:uiPriority w:val="0"/>
    <w:rPr>
      <w:rFonts w:ascii="Arial" w:hAnsi="Arial"/>
      <w:b/>
      <w:bCs/>
      <w:kern w:val="2"/>
      <w:sz w:val="28"/>
      <w:szCs w:val="32"/>
    </w:rPr>
  </w:style>
  <w:style w:type="character" w:customStyle="1" w:styleId="42">
    <w:name w:val="正文文本 Char"/>
    <w:basedOn w:val="29"/>
    <w:link w:val="2"/>
    <w:qFormat/>
    <w:uiPriority w:val="0"/>
    <w:rPr>
      <w:kern w:val="2"/>
      <w:sz w:val="21"/>
      <w:szCs w:val="24"/>
    </w:rPr>
  </w:style>
  <w:style w:type="character" w:customStyle="1" w:styleId="43">
    <w:name w:val="正文首行缩进 Char"/>
    <w:basedOn w:val="42"/>
    <w:link w:val="25"/>
    <w:qFormat/>
    <w:uiPriority w:val="0"/>
  </w:style>
  <w:style w:type="paragraph" w:customStyle="1" w:styleId="44">
    <w:name w:val="列出段落1"/>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customStyle="1" w:styleId="45">
    <w:name w:val="首行缩进2字符"/>
    <w:basedOn w:val="1"/>
    <w:qFormat/>
    <w:uiPriority w:val="0"/>
    <w:pPr>
      <w:overflowPunct w:val="0"/>
      <w:spacing w:line="360" w:lineRule="auto"/>
      <w:ind w:firstLine="200" w:firstLineChars="200"/>
    </w:pPr>
    <w:rPr>
      <w:rFonts w:ascii="宋体"/>
      <w:sz w:val="24"/>
      <w:szCs w:val="20"/>
    </w:rPr>
  </w:style>
  <w:style w:type="paragraph" w:customStyle="1" w:styleId="46">
    <w:name w:val="正文文本首行缩进 21"/>
    <w:basedOn w:val="47"/>
    <w:qFormat/>
    <w:uiPriority w:val="0"/>
    <w:pPr>
      <w:spacing w:after="0" w:line="500" w:lineRule="exact"/>
      <w:ind w:left="0" w:leftChars="0" w:firstLine="420" w:firstLineChars="200"/>
    </w:pPr>
  </w:style>
  <w:style w:type="paragraph" w:customStyle="1" w:styleId="47">
    <w:name w:val="正文文本缩进1"/>
    <w:basedOn w:val="1"/>
    <w:qFormat/>
    <w:uiPriority w:val="0"/>
    <w:pPr>
      <w:spacing w:after="120"/>
      <w:ind w:left="420" w:leftChars="200"/>
    </w:pPr>
  </w:style>
  <w:style w:type="paragraph" w:styleId="48">
    <w:name w:val="List Paragraph"/>
    <w:basedOn w:val="1"/>
    <w:qFormat/>
    <w:uiPriority w:val="99"/>
    <w:pPr>
      <w:ind w:firstLine="420" w:firstLineChars="200"/>
    </w:p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1">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2">
    <w:name w:val="z正文"/>
    <w:qFormat/>
    <w:uiPriority w:val="0"/>
    <w:pPr>
      <w:ind w:firstLine="641"/>
      <w:jc w:val="both"/>
    </w:pPr>
    <w:rPr>
      <w:rFonts w:ascii="仿宋_GB2312" w:hAnsi="方正仿宋简体" w:eastAsia="仿宋_GB2312" w:cs="Times New Roman"/>
      <w:kern w:val="2"/>
      <w:sz w:val="32"/>
      <w:szCs w:val="32"/>
      <w:lang w:val="en-US" w:eastAsia="zh-CN" w:bidi="ar-SA"/>
    </w:rPr>
  </w:style>
  <w:style w:type="paragraph" w:customStyle="1" w:styleId="53">
    <w:name w:val="Body Text 21"/>
    <w:qFormat/>
    <w:uiPriority w:val="0"/>
    <w:pPr>
      <w:widowControl w:val="0"/>
      <w:spacing w:line="500" w:lineRule="exact"/>
      <w:jc w:val="both"/>
    </w:pPr>
    <w:rPr>
      <w:rFonts w:ascii="Times New Roman" w:hAnsi="Times New Roman" w:eastAsia="宋体" w:cs="Times New Roman"/>
      <w:color w:val="000000"/>
      <w:kern w:val="2"/>
      <w:sz w:val="30"/>
      <w:szCs w:val="24"/>
      <w:lang w:val="en-US" w:eastAsia="zh-CN" w:bidi="ar-SA"/>
    </w:rPr>
  </w:style>
  <w:style w:type="paragraph" w:customStyle="1" w:styleId="54">
    <w:name w:val="Table Paragraph"/>
    <w:qFormat/>
    <w:uiPriority w:val="1"/>
    <w:pPr>
      <w:widowControl w:val="0"/>
    </w:pPr>
    <w:rPr>
      <w:rFonts w:ascii="Calibri" w:hAnsi="Calibri" w:eastAsia="Calibri" w:cs="Times New Roman"/>
      <w:sz w:val="22"/>
      <w:szCs w:val="22"/>
      <w:lang w:val="en-US" w:eastAsia="en-US" w:bidi="ar-SA"/>
    </w:rPr>
  </w:style>
  <w:style w:type="paragraph" w:customStyle="1" w:styleId="55">
    <w:name w:val="表文字"/>
    <w:basedOn w:val="1"/>
    <w:qFormat/>
    <w:uiPriority w:val="99"/>
    <w:pPr>
      <w:jc w:val="center"/>
    </w:pPr>
    <w:rPr>
      <w:rFonts w:ascii="宋体" w:hAnsi="宋体" w:cs="隶书"/>
      <w:szCs w:val="28"/>
    </w:rPr>
  </w:style>
  <w:style w:type="paragraph" w:customStyle="1" w:styleId="56">
    <w:name w:val="列表段落1"/>
    <w:basedOn w:val="1"/>
    <w:qFormat/>
    <w:uiPriority w:val="1"/>
    <w:pPr>
      <w:spacing w:before="139"/>
      <w:ind w:left="738" w:firstLine="420"/>
    </w:pPr>
    <w:rPr>
      <w:rFonts w:ascii="宋体" w:hAnsi="宋体" w:cs="宋体"/>
      <w:lang w:val="zh-CN" w:bidi="zh-CN"/>
    </w:rPr>
  </w:style>
  <w:style w:type="paragraph" w:customStyle="1" w:styleId="57">
    <w:name w:val="正文 段落"/>
    <w:qFormat/>
    <w:uiPriority w:val="0"/>
    <w:pPr>
      <w:widowControl w:val="0"/>
      <w:spacing w:line="360" w:lineRule="auto"/>
      <w:ind w:firstLine="200" w:firstLineChars="200"/>
    </w:pPr>
    <w:rPr>
      <w:rFonts w:ascii="Times New Roman" w:hAnsi="Times New Roman" w:eastAsia="宋体" w:cs="Times New Roman"/>
      <w:color w:val="000000"/>
      <w:kern w:val="2"/>
      <w:sz w:val="21"/>
      <w:szCs w:val="21"/>
      <w:lang w:val="en-US" w:eastAsia="zh-CN" w:bidi="ar-SA"/>
    </w:rPr>
  </w:style>
  <w:style w:type="paragraph" w:customStyle="1" w:styleId="58">
    <w:name w:val="样式 宋体 小四 行距: 1.5 倍行距"/>
    <w:basedOn w:val="1"/>
    <w:qFormat/>
    <w:uiPriority w:val="0"/>
    <w:pPr>
      <w:spacing w:line="360" w:lineRule="auto"/>
      <w:ind w:firstLine="799" w:firstLineChars="333"/>
    </w:pPr>
    <w:rPr>
      <w:rFonts w:ascii="宋体" w:hAnsi="宋体" w:cs="宋体"/>
    </w:rPr>
  </w:style>
  <w:style w:type="paragraph" w:customStyle="1" w:styleId="59">
    <w:name w:val="正文缩进2格"/>
    <w:basedOn w:val="1"/>
    <w:qFormat/>
    <w:uiPriority w:val="99"/>
    <w:pPr>
      <w:spacing w:line="600" w:lineRule="exact"/>
      <w:ind w:firstLine="639" w:firstLineChars="206"/>
    </w:pPr>
    <w:rPr>
      <w:rFonts w:ascii="仿宋_GB2312" w:hAnsi="宋体" w:eastAsia="仿宋_GB2312"/>
      <w:kern w:val="0"/>
      <w:sz w:val="28"/>
      <w:szCs w:val="20"/>
    </w:rPr>
  </w:style>
  <w:style w:type="character" w:customStyle="1" w:styleId="60">
    <w:name w:val="drapbtn"/>
    <w:basedOn w:val="29"/>
    <w:qFormat/>
    <w:uiPriority w:val="0"/>
  </w:style>
  <w:style w:type="character" w:customStyle="1" w:styleId="61">
    <w:name w:val="tmpztreemove_arrow"/>
    <w:basedOn w:val="29"/>
    <w:qFormat/>
    <w:uiPriority w:val="0"/>
  </w:style>
  <w:style w:type="character" w:customStyle="1" w:styleId="62">
    <w:name w:val="color_gray3"/>
    <w:basedOn w:val="29"/>
    <w:qFormat/>
    <w:uiPriority w:val="0"/>
    <w:rPr>
      <w:color w:val="999999"/>
    </w:rPr>
  </w:style>
  <w:style w:type="character" w:customStyle="1" w:styleId="63">
    <w:name w:val="moreaction32"/>
    <w:basedOn w:val="29"/>
    <w:qFormat/>
    <w:uiPriority w:val="0"/>
  </w:style>
  <w:style w:type="character" w:customStyle="1" w:styleId="64">
    <w:name w:val="cdropright"/>
    <w:basedOn w:val="29"/>
    <w:qFormat/>
    <w:uiPriority w:val="0"/>
  </w:style>
  <w:style w:type="character" w:customStyle="1" w:styleId="65">
    <w:name w:val="pagechatarealistclose_box"/>
    <w:basedOn w:val="29"/>
    <w:qFormat/>
    <w:uiPriority w:val="0"/>
  </w:style>
  <w:style w:type="character" w:customStyle="1" w:styleId="66">
    <w:name w:val="pagechatarealistclose_box1"/>
    <w:basedOn w:val="29"/>
    <w:qFormat/>
    <w:uiPriority w:val="0"/>
  </w:style>
  <w:style w:type="character" w:customStyle="1" w:styleId="67">
    <w:name w:val="ico16"/>
    <w:basedOn w:val="29"/>
    <w:qFormat/>
    <w:uiPriority w:val="0"/>
  </w:style>
  <w:style w:type="character" w:customStyle="1" w:styleId="68">
    <w:name w:val="ico161"/>
    <w:basedOn w:val="29"/>
    <w:qFormat/>
    <w:uiPriority w:val="0"/>
  </w:style>
  <w:style w:type="character" w:customStyle="1" w:styleId="69">
    <w:name w:val="ico162"/>
    <w:basedOn w:val="29"/>
    <w:qFormat/>
    <w:uiPriority w:val="0"/>
  </w:style>
  <w:style w:type="character" w:customStyle="1" w:styleId="70">
    <w:name w:val="estimate_gray"/>
    <w:basedOn w:val="29"/>
    <w:qFormat/>
    <w:uiPriority w:val="0"/>
    <w:rPr>
      <w:color w:val="FFFFFF"/>
    </w:rPr>
  </w:style>
  <w:style w:type="character" w:customStyle="1" w:styleId="71">
    <w:name w:val="cdropleft"/>
    <w:basedOn w:val="29"/>
    <w:qFormat/>
    <w:uiPriority w:val="0"/>
  </w:style>
  <w:style w:type="character" w:customStyle="1" w:styleId="72">
    <w:name w:val="w32"/>
    <w:basedOn w:val="29"/>
    <w:qFormat/>
    <w:uiPriority w:val="0"/>
  </w:style>
  <w:style w:type="character" w:customStyle="1" w:styleId="73">
    <w:name w:val="hilite5"/>
    <w:basedOn w:val="29"/>
    <w:qFormat/>
    <w:uiPriority w:val="0"/>
    <w:rPr>
      <w:color w:val="FFFFFF"/>
      <w:shd w:val="clear" w:color="auto" w:fill="666666"/>
    </w:rPr>
  </w:style>
  <w:style w:type="character" w:customStyle="1" w:styleId="74">
    <w:name w:val="active2"/>
    <w:basedOn w:val="29"/>
    <w:qFormat/>
    <w:uiPriority w:val="0"/>
    <w:rPr>
      <w:color w:val="00FF00"/>
      <w:shd w:val="clear" w:color="auto" w:fill="111111"/>
    </w:rPr>
  </w:style>
  <w:style w:type="character" w:customStyle="1" w:styleId="75">
    <w:name w:val="hover46"/>
    <w:basedOn w:val="29"/>
    <w:qFormat/>
    <w:uiPriority w:val="0"/>
    <w:rPr>
      <w:color w:val="FFFFFF"/>
    </w:rPr>
  </w:style>
  <w:style w:type="character" w:customStyle="1" w:styleId="76">
    <w:name w:val="button4"/>
    <w:basedOn w:val="29"/>
    <w:qFormat/>
    <w:uiPriority w:val="0"/>
  </w:style>
  <w:style w:type="character" w:customStyle="1" w:styleId="77">
    <w:name w:val="liked_gray"/>
    <w:basedOn w:val="29"/>
    <w:qFormat/>
    <w:uiPriority w:val="0"/>
    <w:rPr>
      <w:color w:val="FFFFFF"/>
    </w:rPr>
  </w:style>
  <w:style w:type="character" w:customStyle="1" w:styleId="78">
    <w:name w:val="last-child"/>
    <w:basedOn w:val="29"/>
    <w:qFormat/>
    <w:uiPriority w:val="0"/>
  </w:style>
  <w:style w:type="character" w:customStyle="1" w:styleId="79">
    <w:name w:val="after"/>
    <w:basedOn w:val="29"/>
    <w:qFormat/>
    <w:uiPriority w:val="0"/>
    <w:rPr>
      <w:sz w:val="16"/>
      <w:szCs w:val="0"/>
    </w:rPr>
  </w:style>
  <w:style w:type="character" w:customStyle="1" w:styleId="80">
    <w:name w:val="cy"/>
    <w:basedOn w:val="29"/>
    <w:qFormat/>
    <w:uiPriority w:val="0"/>
  </w:style>
  <w:style w:type="character" w:customStyle="1" w:styleId="81">
    <w:name w:val="hilite6"/>
    <w:basedOn w:val="29"/>
    <w:qFormat/>
    <w:uiPriority w:val="0"/>
    <w:rPr>
      <w:color w:val="FFFFFF"/>
      <w:shd w:val="clear" w:color="auto" w:fill="666666"/>
    </w:rPr>
  </w:style>
  <w:style w:type="character" w:customStyle="1" w:styleId="82">
    <w:name w:val="active7"/>
    <w:basedOn w:val="29"/>
    <w:qFormat/>
    <w:uiPriority w:val="0"/>
    <w:rPr>
      <w:color w:val="00FF00"/>
      <w:shd w:val="clear" w:color="auto" w:fill="111111"/>
    </w:rPr>
  </w:style>
  <w:style w:type="paragraph" w:customStyle="1" w:styleId="83">
    <w:name w:val="Heading1"/>
    <w:basedOn w:val="1"/>
    <w:next w:val="1"/>
    <w:qFormat/>
    <w:uiPriority w:val="0"/>
    <w:pPr>
      <w:keepNext/>
      <w:tabs>
        <w:tab w:val="left" w:pos="432"/>
        <w:tab w:val="left" w:pos="720"/>
      </w:tabs>
      <w:spacing w:line="360" w:lineRule="auto"/>
      <w:jc w:val="center"/>
    </w:pPr>
    <w:rPr>
      <w:rFonts w:ascii="黑体" w:hAnsi="黑体"/>
      <w:b/>
      <w:kern w:val="0"/>
      <w:sz w:val="32"/>
    </w:rPr>
  </w:style>
  <w:style w:type="paragraph" w:customStyle="1" w:styleId="84">
    <w:name w:val="NormalIndent"/>
    <w:basedOn w:val="1"/>
    <w:next w:val="1"/>
    <w:qFormat/>
    <w:uiPriority w:val="0"/>
    <w:pPr>
      <w:ind w:firstLine="420"/>
      <w:textAlignment w:val="baseline"/>
    </w:pPr>
  </w:style>
  <w:style w:type="character" w:customStyle="1" w:styleId="85">
    <w:name w:val="NormalCharacter"/>
    <w:semiHidden/>
    <w:qFormat/>
    <w:uiPriority w:val="0"/>
  </w:style>
  <w:style w:type="paragraph" w:customStyle="1" w:styleId="86">
    <w:name w:val="正文首行缩进1"/>
    <w:basedOn w:val="2"/>
    <w:qFormat/>
    <w:uiPriority w:val="0"/>
    <w:pPr>
      <w:ind w:firstLine="420" w:firstLineChars="100"/>
    </w:pPr>
    <w:rPr>
      <w:rFonts w:ascii="Calibri" w:hAnsi="Calibri"/>
      <w:szCs w:val="22"/>
    </w:rPr>
  </w:style>
  <w:style w:type="paragraph" w:customStyle="1" w:styleId="87">
    <w:name w:val="_Style 1"/>
    <w:basedOn w:val="1"/>
    <w:qFormat/>
    <w:uiPriority w:val="0"/>
    <w:pPr>
      <w:ind w:firstLine="420" w:firstLineChars="200"/>
    </w:pPr>
    <w:rPr>
      <w:rFonts w:ascii="Calibri" w:hAnsi="Calibri"/>
    </w:rPr>
  </w:style>
  <w:style w:type="character" w:customStyle="1" w:styleId="88">
    <w:name w:val="color_gray2"/>
    <w:basedOn w:val="29"/>
    <w:qFormat/>
    <w:uiPriority w:val="0"/>
    <w:rPr>
      <w:color w:val="999999"/>
    </w:rPr>
  </w:style>
  <w:style w:type="character" w:customStyle="1" w:styleId="89">
    <w:name w:val="button"/>
    <w:basedOn w:val="29"/>
    <w:qFormat/>
    <w:uiPriority w:val="0"/>
  </w:style>
  <w:style w:type="character" w:customStyle="1" w:styleId="90">
    <w:name w:val="browse_class&gt;span"/>
    <w:basedOn w:val="29"/>
    <w:qFormat/>
    <w:uiPriority w:val="0"/>
  </w:style>
  <w:style w:type="character" w:customStyle="1" w:styleId="91">
    <w:name w:val="ico1656"/>
    <w:basedOn w:val="29"/>
    <w:qFormat/>
    <w:uiPriority w:val="0"/>
  </w:style>
  <w:style w:type="character" w:customStyle="1" w:styleId="92">
    <w:name w:val="ico1657"/>
    <w:basedOn w:val="29"/>
    <w:qFormat/>
    <w:uiPriority w:val="0"/>
  </w:style>
  <w:style w:type="character" w:customStyle="1" w:styleId="93">
    <w:name w:val="ico1658"/>
    <w:basedOn w:val="29"/>
    <w:qFormat/>
    <w:uiPriority w:val="0"/>
  </w:style>
  <w:style w:type="character" w:customStyle="1" w:styleId="94">
    <w:name w:val="edit_class"/>
    <w:basedOn w:val="29"/>
    <w:qFormat/>
    <w:uiPriority w:val="0"/>
  </w:style>
  <w:style w:type="character" w:customStyle="1" w:styleId="95">
    <w:name w:val="biggerthanmax"/>
    <w:basedOn w:val="29"/>
    <w:qFormat/>
    <w:uiPriority w:val="0"/>
    <w:rPr>
      <w:shd w:val="clear" w:color="auto" w:fill="FFFF00"/>
    </w:rPr>
  </w:style>
  <w:style w:type="character" w:customStyle="1" w:styleId="96">
    <w:name w:val="xdrichtextbox2"/>
    <w:basedOn w:val="29"/>
    <w:qFormat/>
    <w:uiPriority w:val="0"/>
  </w:style>
  <w:style w:type="character" w:customStyle="1" w:styleId="97">
    <w:name w:val="design_class"/>
    <w:basedOn w:val="29"/>
    <w:qFormat/>
    <w:uiPriority w:val="0"/>
  </w:style>
  <w:style w:type="character" w:customStyle="1" w:styleId="98">
    <w:name w:val="hover48"/>
    <w:basedOn w:val="29"/>
    <w:qFormat/>
    <w:uiPriority w:val="0"/>
    <w:rPr>
      <w:color w:val="FFFFFF"/>
    </w:rPr>
  </w:style>
  <w:style w:type="character" w:customStyle="1" w:styleId="99">
    <w:name w:val="ico1655"/>
    <w:basedOn w:val="29"/>
    <w:qFormat/>
    <w:uiPriority w:val="0"/>
  </w:style>
  <w:style w:type="character" w:customStyle="1" w:styleId="100">
    <w:name w:val="hover39"/>
    <w:basedOn w:val="29"/>
    <w:qFormat/>
    <w:uiPriority w:val="0"/>
    <w:rPr>
      <w:color w:val="FFFFFF"/>
    </w:rPr>
  </w:style>
  <w:style w:type="character" w:customStyle="1" w:styleId="101">
    <w:name w:val="hover47"/>
    <w:basedOn w:val="29"/>
    <w:qFormat/>
    <w:uiPriority w:val="0"/>
    <w:rPr>
      <w:color w:val="FFFFFF"/>
    </w:rPr>
  </w:style>
  <w:style w:type="character" w:customStyle="1" w:styleId="102">
    <w:name w:val="hilite"/>
    <w:basedOn w:val="29"/>
    <w:qFormat/>
    <w:uiPriority w:val="0"/>
    <w:rPr>
      <w:color w:val="FFFFFF"/>
      <w:shd w:val="clear" w:color="auto" w:fill="666666"/>
    </w:rPr>
  </w:style>
  <w:style w:type="character" w:customStyle="1" w:styleId="103">
    <w:name w:val="active5"/>
    <w:basedOn w:val="29"/>
    <w:qFormat/>
    <w:uiPriority w:val="0"/>
    <w:rPr>
      <w:color w:val="00FF00"/>
      <w:shd w:val="clear" w:color="auto" w:fill="111111"/>
    </w:rPr>
  </w:style>
  <w:style w:type="character" w:customStyle="1" w:styleId="104">
    <w:name w:val="active"/>
    <w:basedOn w:val="29"/>
    <w:qFormat/>
    <w:uiPriority w:val="0"/>
    <w:rPr>
      <w:color w:val="00FF00"/>
      <w:shd w:val="clear" w:color="auto" w:fill="111111"/>
    </w:rPr>
  </w:style>
  <w:style w:type="character" w:customStyle="1" w:styleId="105">
    <w:name w:val="color_gray"/>
    <w:basedOn w:val="29"/>
    <w:qFormat/>
    <w:uiPriority w:val="0"/>
    <w:rPr>
      <w:color w:val="999999"/>
    </w:rPr>
  </w:style>
  <w:style w:type="character" w:customStyle="1" w:styleId="106">
    <w:name w:val="xdrichtextbox"/>
    <w:basedOn w:val="29"/>
    <w:qFormat/>
    <w:uiPriority w:val="0"/>
    <w:rPr>
      <w:color w:val="auto"/>
      <w:sz w:val="14"/>
      <w:szCs w:val="14"/>
      <w:u w:val="none"/>
      <w:bdr w:val="single" w:color="DCDCDC" w:sz="8" w:space="0"/>
      <w:shd w:val="clear" w:color="auto" w:fill="auto"/>
    </w:rPr>
  </w:style>
  <w:style w:type="table" w:customStyle="1" w:styleId="107">
    <w:name w:val="Table Normal"/>
    <w:autoRedefine/>
    <w:semiHidden/>
    <w:unhideWhenUsed/>
    <w:qFormat/>
    <w:uiPriority w:val="0"/>
    <w:tblPr>
      <w:tblCellMar>
        <w:top w:w="0" w:type="dxa"/>
        <w:left w:w="0" w:type="dxa"/>
        <w:bottom w:w="0" w:type="dxa"/>
        <w:right w:w="0" w:type="dxa"/>
      </w:tblCellMar>
    </w:tblPr>
  </w:style>
  <w:style w:type="character" w:customStyle="1" w:styleId="108">
    <w:name w:val="hover44"/>
    <w:basedOn w:val="29"/>
    <w:qFormat/>
    <w:uiPriority w:val="0"/>
    <w:rPr>
      <w:color w:val="FFFFFF"/>
    </w:rPr>
  </w:style>
  <w:style w:type="paragraph" w:customStyle="1" w:styleId="10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62</Pages>
  <Words>31578</Words>
  <Characters>33617</Characters>
  <Lines>267</Lines>
  <Paragraphs>75</Paragraphs>
  <TotalTime>59</TotalTime>
  <ScaleCrop>false</ScaleCrop>
  <LinksUpToDate>false</LinksUpToDate>
  <CharactersWithSpaces>34827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2025-04-22T03:24:00Z</dcterms:created>
  <dc:creator>众缘国合.张正举</dc:creator>
  <cp:lastModifiedBy>童济阳</cp:lastModifiedBy>
  <cp:lastPrinted>2025-09-11T06:44:00Z</cp:lastPrinted>
  <dcterms:modified xsi:type="dcterms:W3CDTF">2025-09-19T09:06:53Z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A3BFAC4205B4488796AB2BB0E69EF490_13</vt:lpwstr>
  </property>
  <property fmtid="{D5CDD505-2E9C-101B-9397-08002B2CF9AE}" pid="4" name="commondata">
    <vt:lpwstr>eyJoZGlkIjoiZDRkYzdkMDcyMDBlMmIzMTQyZmNhYmJiN2YzYzA3NmYifQ==</vt:lpwstr>
  </property>
  <property fmtid="{D5CDD505-2E9C-101B-9397-08002B2CF9AE}" pid="5" name="KSOTemplateDocerSaveRecord">
    <vt:lpwstr>eyJoZGlkIjoiN2YzNjBkOTgyNWQ1YTMxYzM3MzMwNWFiODNmOWIzYWMiLCJ1c2VySWQiOiIxOTc1Njk0OTMifQ==</vt:lpwstr>
  </property>
</Properties>
</file>