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AC727">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lang w:val="en-US" w:eastAsia="zh-CN"/>
        </w:rPr>
      </w:pPr>
      <w:bookmarkStart w:id="0" w:name="_GoBack"/>
      <w:bookmarkEnd w:id="0"/>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277"/>
        <w:gridCol w:w="1124"/>
        <w:gridCol w:w="1455"/>
        <w:gridCol w:w="1198"/>
        <w:gridCol w:w="1313"/>
        <w:gridCol w:w="1503"/>
        <w:gridCol w:w="1544"/>
        <w:gridCol w:w="1853"/>
        <w:gridCol w:w="1413"/>
        <w:gridCol w:w="1494"/>
      </w:tblGrid>
      <w:tr w14:paraId="5A6554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blHeader/>
          <w:jc w:val="center"/>
        </w:trPr>
        <w:tc>
          <w:tcPr>
            <w:tcW w:w="14174" w:type="dxa"/>
            <w:gridSpan w:val="10"/>
            <w:tcBorders>
              <w:tl2br w:val="nil"/>
              <w:tr2bl w:val="nil"/>
            </w:tcBorders>
            <w:noWrap w:val="0"/>
            <w:vAlign w:val="center"/>
          </w:tcPr>
          <w:p w14:paraId="1B4B757A">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云南滇中新区周家山农村公益性公墓收费表</w:t>
            </w:r>
          </w:p>
        </w:tc>
      </w:tr>
      <w:tr w14:paraId="3730B3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blHeader/>
          <w:jc w:val="center"/>
        </w:trPr>
        <w:tc>
          <w:tcPr>
            <w:tcW w:w="1277" w:type="dxa"/>
            <w:tcBorders>
              <w:tl2br w:val="nil"/>
              <w:tr2bl w:val="nil"/>
            </w:tcBorders>
            <w:noWrap w:val="0"/>
            <w:vAlign w:val="center"/>
          </w:tcPr>
          <w:p w14:paraId="63270181">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墓穴类型</w:t>
            </w:r>
          </w:p>
        </w:tc>
        <w:tc>
          <w:tcPr>
            <w:tcW w:w="1124" w:type="dxa"/>
            <w:tcBorders>
              <w:tl2br w:val="nil"/>
              <w:tr2bl w:val="nil"/>
            </w:tcBorders>
            <w:noWrap w:val="0"/>
            <w:vAlign w:val="center"/>
          </w:tcPr>
          <w:p w14:paraId="6973790F">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墓区位置</w:t>
            </w:r>
          </w:p>
        </w:tc>
        <w:tc>
          <w:tcPr>
            <w:tcW w:w="1455" w:type="dxa"/>
            <w:tcBorders>
              <w:tl2br w:val="nil"/>
              <w:tr2bl w:val="nil"/>
            </w:tcBorders>
            <w:noWrap w:val="0"/>
            <w:vAlign w:val="center"/>
          </w:tcPr>
          <w:p w14:paraId="06949D12">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收费标准</w:t>
            </w:r>
          </w:p>
        </w:tc>
        <w:tc>
          <w:tcPr>
            <w:tcW w:w="1198" w:type="dxa"/>
            <w:tcBorders>
              <w:tl2br w:val="nil"/>
              <w:tr2bl w:val="nil"/>
            </w:tcBorders>
            <w:noWrap w:val="0"/>
            <w:vAlign w:val="center"/>
          </w:tcPr>
          <w:p w14:paraId="417BF8C9">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计费单位</w:t>
            </w:r>
          </w:p>
        </w:tc>
        <w:tc>
          <w:tcPr>
            <w:tcW w:w="1313" w:type="dxa"/>
            <w:tcBorders>
              <w:tl2br w:val="nil"/>
              <w:tr2bl w:val="nil"/>
            </w:tcBorders>
            <w:noWrap w:val="0"/>
            <w:vAlign w:val="center"/>
          </w:tcPr>
          <w:p w14:paraId="023438EA">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收费管理形式</w:t>
            </w:r>
          </w:p>
        </w:tc>
        <w:tc>
          <w:tcPr>
            <w:tcW w:w="1503" w:type="dxa"/>
            <w:tcBorders>
              <w:tl2br w:val="nil"/>
              <w:tr2bl w:val="nil"/>
            </w:tcBorders>
            <w:noWrap w:val="0"/>
            <w:vAlign w:val="center"/>
          </w:tcPr>
          <w:p w14:paraId="54E6959E">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收费依据</w:t>
            </w:r>
          </w:p>
        </w:tc>
        <w:tc>
          <w:tcPr>
            <w:tcW w:w="1544" w:type="dxa"/>
            <w:tcBorders>
              <w:tl2br w:val="nil"/>
              <w:tr2bl w:val="nil"/>
            </w:tcBorders>
            <w:noWrap w:val="0"/>
            <w:vAlign w:val="center"/>
          </w:tcPr>
          <w:p w14:paraId="451B8619">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维护管理费</w:t>
            </w:r>
          </w:p>
        </w:tc>
        <w:tc>
          <w:tcPr>
            <w:tcW w:w="1853" w:type="dxa"/>
            <w:tcBorders>
              <w:tl2br w:val="nil"/>
              <w:tr2bl w:val="nil"/>
            </w:tcBorders>
            <w:noWrap w:val="0"/>
            <w:vAlign w:val="center"/>
          </w:tcPr>
          <w:p w14:paraId="02E88624">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墓穴详情</w:t>
            </w:r>
          </w:p>
        </w:tc>
        <w:tc>
          <w:tcPr>
            <w:tcW w:w="1413" w:type="dxa"/>
            <w:tcBorders>
              <w:tl2br w:val="nil"/>
              <w:tr2bl w:val="nil"/>
            </w:tcBorders>
            <w:noWrap w:val="0"/>
            <w:vAlign w:val="center"/>
          </w:tcPr>
          <w:p w14:paraId="2B87896D">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减免政策</w:t>
            </w:r>
          </w:p>
        </w:tc>
        <w:tc>
          <w:tcPr>
            <w:tcW w:w="1494" w:type="dxa"/>
            <w:tcBorders>
              <w:tl2br w:val="nil"/>
              <w:tr2bl w:val="nil"/>
            </w:tcBorders>
            <w:noWrap w:val="0"/>
            <w:vAlign w:val="center"/>
          </w:tcPr>
          <w:p w14:paraId="3AF33F27">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rPr>
            </w:pPr>
            <w:r>
              <w:rPr>
                <w:rFonts w:hint="eastAsia" w:ascii="黑体" w:hAnsi="黑体" w:eastAsia="黑体" w:cs="黑体"/>
                <w:i w:val="0"/>
                <w:snapToGrid w:val="0"/>
                <w:color w:val="000000"/>
                <w:kern w:val="0"/>
                <w:sz w:val="24"/>
                <w:szCs w:val="24"/>
                <w:u w:val="none"/>
                <w:lang w:val="en-US" w:eastAsia="zh-CN"/>
              </w:rPr>
              <w:t>备注</w:t>
            </w:r>
            <w:r>
              <w:rPr>
                <w:rFonts w:hint="eastAsia" w:ascii="黑体" w:hAnsi="黑体" w:eastAsia="黑体" w:cs="黑体"/>
                <w:i w:val="0"/>
                <w:snapToGrid w:val="0"/>
                <w:color w:val="000000"/>
                <w:kern w:val="0"/>
                <w:sz w:val="24"/>
                <w:szCs w:val="24"/>
                <w:u w:val="none"/>
                <w:lang w:val="en-US" w:eastAsia="zh-CN"/>
              </w:rPr>
              <w:br w:type="textWrapping"/>
            </w:r>
            <w:r>
              <w:rPr>
                <w:rFonts w:hint="eastAsia" w:ascii="黑体" w:hAnsi="黑体" w:eastAsia="黑体" w:cs="黑体"/>
                <w:i w:val="0"/>
                <w:snapToGrid w:val="0"/>
                <w:color w:val="000000"/>
                <w:kern w:val="0"/>
                <w:sz w:val="24"/>
                <w:szCs w:val="24"/>
                <w:u w:val="none"/>
                <w:lang w:val="en-US" w:eastAsia="zh-CN"/>
              </w:rPr>
              <w:t>（可附照片）</w:t>
            </w:r>
          </w:p>
        </w:tc>
      </w:tr>
      <w:tr w14:paraId="7A5A18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471" w:hRule="atLeast"/>
          <w:jc w:val="center"/>
        </w:trPr>
        <w:tc>
          <w:tcPr>
            <w:tcW w:w="1277" w:type="dxa"/>
            <w:tcBorders>
              <w:tl2br w:val="nil"/>
              <w:tr2bl w:val="nil"/>
            </w:tcBorders>
            <w:noWrap w:val="0"/>
            <w:vAlign w:val="center"/>
          </w:tcPr>
          <w:p w14:paraId="32F2F5E9">
            <w:pPr>
              <w:keepNext w:val="0"/>
              <w:keepLines w:val="0"/>
              <w:pageBreakBefore w:val="0"/>
              <w:widowControl w:val="0"/>
              <w:suppressLineNumbers w:val="0"/>
              <w:kinsoku/>
              <w:wordWrap/>
              <w:overflowPunct w:val="0"/>
              <w:topLinePunct w:val="0"/>
              <w:autoSpaceDE/>
              <w:autoSpaceDN/>
              <w:bidi w:val="0"/>
              <w:adjustRightInd w:val="0"/>
              <w:snapToGrid w:val="0"/>
              <w:jc w:val="center"/>
              <w:textAlignment w:val="center"/>
              <w:rPr>
                <w:rFonts w:hint="eastAsia" w:ascii="黑体" w:hAnsi="黑体" w:eastAsia="黑体" w:cs="黑体"/>
                <w:i w:val="0"/>
                <w:snapToGrid w:val="0"/>
                <w:color w:val="000000"/>
                <w:kern w:val="0"/>
                <w:sz w:val="24"/>
                <w:szCs w:val="24"/>
                <w:u w:val="none"/>
                <w:lang w:val="en-US" w:eastAsia="zh-CN"/>
              </w:rPr>
            </w:pPr>
            <w:r>
              <w:rPr>
                <w:rFonts w:hint="eastAsia" w:ascii="仿宋_GB2312" w:hAnsi="仿宋_GB2312" w:eastAsia="仿宋_GB2312" w:cs="仿宋_GB2312"/>
                <w:i w:val="0"/>
                <w:snapToGrid w:val="0"/>
                <w:color w:val="000000"/>
                <w:kern w:val="0"/>
                <w:sz w:val="24"/>
                <w:szCs w:val="24"/>
                <w:u w:val="none"/>
                <w:lang w:val="en-US" w:eastAsia="zh-CN"/>
              </w:rPr>
              <w:t>立式墓穴</w:t>
            </w:r>
          </w:p>
        </w:tc>
        <w:tc>
          <w:tcPr>
            <w:tcW w:w="1124" w:type="dxa"/>
            <w:tcBorders>
              <w:tl2br w:val="nil"/>
              <w:tr2bl w:val="nil"/>
            </w:tcBorders>
            <w:noWrap w:val="0"/>
            <w:vAlign w:val="center"/>
          </w:tcPr>
          <w:p w14:paraId="4ED33C65">
            <w:pPr>
              <w:keepNext w:val="0"/>
              <w:keepLines w:val="0"/>
              <w:pageBreakBefore w:val="0"/>
              <w:widowControl w:val="0"/>
              <w:kinsoku/>
              <w:wordWrap/>
              <w:overflowPunct w:val="0"/>
              <w:topLinePunct w:val="0"/>
              <w:autoSpaceDE/>
              <w:autoSpaceDN/>
              <w:bidi w:val="0"/>
              <w:adjustRightInd w:val="0"/>
              <w:snapToGrid w:val="0"/>
              <w:jc w:val="left"/>
              <w:rPr>
                <w:rFonts w:hint="default" w:ascii="仿宋_GB2312" w:hAnsi="仿宋_GB2312" w:eastAsia="仿宋_GB2312" w:cs="仿宋_GB2312"/>
                <w:i w:val="0"/>
                <w:snapToGrid w:val="0"/>
                <w:color w:val="000000"/>
                <w:kern w:val="0"/>
                <w:sz w:val="24"/>
                <w:szCs w:val="24"/>
                <w:u w:val="none"/>
                <w:lang w:val="en-US" w:eastAsia="zh-CN"/>
              </w:rPr>
            </w:pPr>
            <w:r>
              <w:rPr>
                <w:rFonts w:hint="eastAsia" w:ascii="仿宋_GB2312" w:hAnsi="仿宋_GB2312" w:eastAsia="仿宋_GB2312" w:cs="仿宋_GB2312"/>
                <w:i w:val="0"/>
                <w:snapToGrid w:val="0"/>
                <w:color w:val="000000"/>
                <w:kern w:val="0"/>
                <w:sz w:val="24"/>
                <w:szCs w:val="24"/>
                <w:u w:val="none"/>
                <w:lang w:val="en-US" w:eastAsia="zh-CN"/>
              </w:rPr>
              <w:t>云南省昆明市</w:t>
            </w:r>
            <w:r>
              <w:rPr>
                <w:rFonts w:hint="default" w:ascii="仿宋_GB2312" w:hAnsi="仿宋_GB2312" w:eastAsia="仿宋_GB2312" w:cs="仿宋_GB2312"/>
                <w:i w:val="0"/>
                <w:snapToGrid w:val="0"/>
                <w:color w:val="000000"/>
                <w:kern w:val="0"/>
                <w:sz w:val="24"/>
                <w:szCs w:val="24"/>
                <w:u w:val="none"/>
                <w:lang w:val="en-US" w:eastAsia="zh-CN"/>
              </w:rPr>
              <w:t>大板桥街道新发社区新发小组</w:t>
            </w:r>
          </w:p>
        </w:tc>
        <w:tc>
          <w:tcPr>
            <w:tcW w:w="1455" w:type="dxa"/>
            <w:tcBorders>
              <w:tl2br w:val="nil"/>
              <w:tr2bl w:val="nil"/>
            </w:tcBorders>
            <w:noWrap w:val="0"/>
            <w:vAlign w:val="center"/>
          </w:tcPr>
          <w:p w14:paraId="772A58EC">
            <w:pPr>
              <w:keepNext w:val="0"/>
              <w:keepLines w:val="0"/>
              <w:pageBreakBefore w:val="0"/>
              <w:widowControl w:val="0"/>
              <w:kinsoku/>
              <w:wordWrap/>
              <w:overflowPunct w:val="0"/>
              <w:topLinePunct w:val="0"/>
              <w:autoSpaceDE/>
              <w:autoSpaceDN/>
              <w:bidi w:val="0"/>
              <w:adjustRightInd w:val="0"/>
              <w:snapToGrid w:val="0"/>
              <w:jc w:val="left"/>
              <w:rPr>
                <w:rFonts w:hint="default" w:ascii="仿宋_GB2312" w:hAnsi="仿宋_GB2312" w:eastAsia="仿宋_GB2312" w:cs="仿宋_GB2312"/>
                <w:i w:val="0"/>
                <w:snapToGrid w:val="0"/>
                <w:color w:val="000000"/>
                <w:kern w:val="0"/>
                <w:sz w:val="24"/>
                <w:szCs w:val="24"/>
                <w:u w:val="none"/>
                <w:lang w:val="en-US" w:eastAsia="zh-CN"/>
              </w:rPr>
            </w:pPr>
            <w:r>
              <w:rPr>
                <w:rFonts w:hint="eastAsia" w:ascii="仿宋_GB2312" w:hAnsi="仿宋_GB2312" w:eastAsia="仿宋_GB2312" w:cs="仿宋_GB2312"/>
                <w:i w:val="0"/>
                <w:snapToGrid w:val="0"/>
                <w:color w:val="000000"/>
                <w:kern w:val="0"/>
                <w:sz w:val="24"/>
                <w:szCs w:val="24"/>
                <w:u w:val="none"/>
                <w:lang w:val="en-US" w:eastAsia="zh-CN"/>
              </w:rPr>
              <w:t>5041元/穴</w:t>
            </w:r>
          </w:p>
        </w:tc>
        <w:tc>
          <w:tcPr>
            <w:tcW w:w="1198" w:type="dxa"/>
            <w:tcBorders>
              <w:tl2br w:val="nil"/>
              <w:tr2bl w:val="nil"/>
            </w:tcBorders>
            <w:noWrap w:val="0"/>
            <w:vAlign w:val="center"/>
          </w:tcPr>
          <w:p w14:paraId="124509C1">
            <w:pPr>
              <w:keepNext w:val="0"/>
              <w:keepLines w:val="0"/>
              <w:pageBreakBefore w:val="0"/>
              <w:widowControl w:val="0"/>
              <w:kinsoku/>
              <w:wordWrap/>
              <w:overflowPunct w:val="0"/>
              <w:topLinePunct w:val="0"/>
              <w:autoSpaceDE/>
              <w:autoSpaceDN/>
              <w:bidi w:val="0"/>
              <w:adjustRightInd w:val="0"/>
              <w:snapToGrid w:val="0"/>
              <w:jc w:val="left"/>
              <w:rPr>
                <w:rFonts w:hint="default" w:ascii="仿宋_GB2312" w:hAnsi="仿宋_GB2312" w:eastAsia="仿宋_GB2312" w:cs="仿宋_GB2312"/>
                <w:i w:val="0"/>
                <w:snapToGrid w:val="0"/>
                <w:color w:val="000000"/>
                <w:kern w:val="0"/>
                <w:sz w:val="24"/>
                <w:szCs w:val="24"/>
                <w:u w:val="none"/>
                <w:lang w:val="en-US"/>
              </w:rPr>
            </w:pPr>
            <w:r>
              <w:rPr>
                <w:rFonts w:hint="eastAsia" w:ascii="仿宋_GB2312" w:hAnsi="仿宋_GB2312" w:eastAsia="仿宋_GB2312" w:cs="仿宋_GB2312"/>
                <w:i w:val="0"/>
                <w:snapToGrid w:val="0"/>
                <w:color w:val="000000"/>
                <w:kern w:val="0"/>
                <w:sz w:val="24"/>
                <w:szCs w:val="24"/>
                <w:u w:val="none"/>
                <w:lang w:val="en-US" w:eastAsia="zh-CN"/>
              </w:rPr>
              <w:t>如：3967元/穴</w:t>
            </w:r>
          </w:p>
        </w:tc>
        <w:tc>
          <w:tcPr>
            <w:tcW w:w="1313" w:type="dxa"/>
            <w:tcBorders>
              <w:tl2br w:val="nil"/>
              <w:tr2bl w:val="nil"/>
            </w:tcBorders>
            <w:noWrap w:val="0"/>
            <w:vAlign w:val="center"/>
          </w:tcPr>
          <w:p w14:paraId="63D62581">
            <w:pPr>
              <w:keepNext w:val="0"/>
              <w:keepLines w:val="0"/>
              <w:pageBreakBefore w:val="0"/>
              <w:widowControl w:val="0"/>
              <w:kinsoku/>
              <w:wordWrap/>
              <w:overflowPunct w:val="0"/>
              <w:topLinePunct w:val="0"/>
              <w:autoSpaceDE/>
              <w:autoSpaceDN/>
              <w:bidi w:val="0"/>
              <w:adjustRightInd w:val="0"/>
              <w:snapToGrid w:val="0"/>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rPr>
              <w:t>政府定价</w:t>
            </w:r>
          </w:p>
        </w:tc>
        <w:tc>
          <w:tcPr>
            <w:tcW w:w="1503" w:type="dxa"/>
            <w:tcBorders>
              <w:tl2br w:val="nil"/>
              <w:tr2bl w:val="nil"/>
            </w:tcBorders>
            <w:noWrap w:val="0"/>
            <w:vAlign w:val="center"/>
          </w:tcPr>
          <w:p w14:paraId="49600E83">
            <w:pPr>
              <w:keepNext w:val="0"/>
              <w:keepLines w:val="0"/>
              <w:pageBreakBefore w:val="0"/>
              <w:widowControl w:val="0"/>
              <w:kinsoku/>
              <w:wordWrap/>
              <w:overflowPunct w:val="0"/>
              <w:topLinePunct w:val="0"/>
              <w:autoSpaceDE/>
              <w:autoSpaceDN/>
              <w:bidi w:val="0"/>
              <w:adjustRightInd w:val="0"/>
              <w:snapToGrid w:val="0"/>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rPr>
              <w:t>云南滇中新区经济发展局（昆明空港经济区管理委员会）《关于滇中新区直管区周家山农村公益性公墓收费标准的批复》（滇中经复</w:t>
            </w:r>
            <w:r>
              <w:rPr>
                <w:rFonts w:hint="default" w:ascii="仿宋_GB2312" w:hAnsi="仿宋_GB2312" w:eastAsia="仿宋_GB2312" w:cs="仿宋_GB2312"/>
                <w:i w:val="0"/>
                <w:snapToGrid w:val="0"/>
                <w:color w:val="000000"/>
                <w:kern w:val="0"/>
                <w:sz w:val="24"/>
                <w:szCs w:val="24"/>
                <w:u w:val="none"/>
                <w:lang w:val="en-US" w:eastAsia="zh-CN"/>
              </w:rPr>
              <w:t>〔202</w:t>
            </w:r>
            <w:r>
              <w:rPr>
                <w:rFonts w:hint="eastAsia" w:ascii="仿宋_GB2312" w:hAnsi="仿宋_GB2312" w:eastAsia="仿宋_GB2312" w:cs="仿宋_GB2312"/>
                <w:i w:val="0"/>
                <w:snapToGrid w:val="0"/>
                <w:color w:val="000000"/>
                <w:kern w:val="0"/>
                <w:sz w:val="24"/>
                <w:szCs w:val="24"/>
                <w:u w:val="none"/>
                <w:lang w:val="en-US" w:eastAsia="zh-CN"/>
              </w:rPr>
              <w:t>5</w:t>
            </w:r>
            <w:r>
              <w:rPr>
                <w:rFonts w:hint="default" w:ascii="仿宋_GB2312" w:hAnsi="仿宋_GB2312" w:eastAsia="仿宋_GB2312" w:cs="仿宋_GB2312"/>
                <w:i w:val="0"/>
                <w:snapToGrid w:val="0"/>
                <w:color w:val="000000"/>
                <w:kern w:val="0"/>
                <w:sz w:val="24"/>
                <w:szCs w:val="24"/>
                <w:u w:val="none"/>
                <w:lang w:val="en-US" w:eastAsia="zh-CN"/>
              </w:rPr>
              <w:t>〕1号</w:t>
            </w:r>
            <w:r>
              <w:rPr>
                <w:rFonts w:hint="eastAsia" w:ascii="仿宋_GB2312" w:hAnsi="仿宋_GB2312" w:eastAsia="仿宋_GB2312" w:cs="仿宋_GB2312"/>
                <w:i w:val="0"/>
                <w:snapToGrid w:val="0"/>
                <w:color w:val="000000"/>
                <w:kern w:val="0"/>
                <w:sz w:val="24"/>
                <w:szCs w:val="24"/>
                <w:u w:val="none"/>
                <w:lang w:val="en-US" w:eastAsia="zh-CN"/>
              </w:rPr>
              <w:t>）</w:t>
            </w:r>
          </w:p>
        </w:tc>
        <w:tc>
          <w:tcPr>
            <w:tcW w:w="1544" w:type="dxa"/>
            <w:tcBorders>
              <w:tl2br w:val="nil"/>
              <w:tr2bl w:val="nil"/>
            </w:tcBorders>
            <w:noWrap w:val="0"/>
            <w:vAlign w:val="center"/>
          </w:tcPr>
          <w:p w14:paraId="130E19AD">
            <w:pPr>
              <w:keepNext w:val="0"/>
              <w:keepLines w:val="0"/>
              <w:pageBreakBefore w:val="0"/>
              <w:widowControl w:val="0"/>
              <w:kinsoku/>
              <w:wordWrap/>
              <w:overflowPunct w:val="0"/>
              <w:topLinePunct w:val="0"/>
              <w:autoSpaceDE/>
              <w:autoSpaceDN/>
              <w:bidi w:val="0"/>
              <w:adjustRightInd w:val="0"/>
              <w:snapToGrid w:val="0"/>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rPr>
              <w:t>1074元/穴（按20年计算）</w:t>
            </w:r>
            <w:r>
              <w:rPr>
                <w:rFonts w:hint="eastAsia" w:ascii="仿宋_GB2312" w:hAnsi="仿宋_GB2312" w:eastAsia="仿宋_GB2312" w:cs="仿宋_GB2312"/>
                <w:i w:val="0"/>
                <w:snapToGrid w:val="0"/>
                <w:color w:val="000000"/>
                <w:kern w:val="0"/>
                <w:sz w:val="24"/>
                <w:szCs w:val="24"/>
                <w:u w:val="none"/>
                <w:lang w:val="en-US" w:eastAsia="zh-CN"/>
              </w:rPr>
              <w:br w:type="textWrapping"/>
            </w:r>
          </w:p>
        </w:tc>
        <w:tc>
          <w:tcPr>
            <w:tcW w:w="1853" w:type="dxa"/>
            <w:tcBorders>
              <w:tl2br w:val="nil"/>
              <w:tr2bl w:val="nil"/>
            </w:tcBorders>
            <w:noWrap w:val="0"/>
            <w:vAlign w:val="center"/>
          </w:tcPr>
          <w:p w14:paraId="218BE993">
            <w:pPr>
              <w:keepNext w:val="0"/>
              <w:keepLines w:val="0"/>
              <w:pageBreakBefore w:val="0"/>
              <w:widowControl w:val="0"/>
              <w:kinsoku/>
              <w:wordWrap/>
              <w:overflowPunct w:val="0"/>
              <w:topLinePunct w:val="0"/>
              <w:autoSpaceDE/>
              <w:autoSpaceDN/>
              <w:bidi w:val="0"/>
              <w:adjustRightInd w:val="0"/>
              <w:snapToGrid w:val="0"/>
              <w:jc w:val="left"/>
              <w:rPr>
                <w:rFonts w:hint="default" w:ascii="仿宋_GB2312" w:hAnsi="仿宋_GB2312" w:eastAsia="仿宋_GB2312" w:cs="仿宋_GB2312"/>
                <w:i w:val="0"/>
                <w:snapToGrid w:val="0"/>
                <w:color w:val="000000"/>
                <w:kern w:val="0"/>
                <w:sz w:val="24"/>
                <w:szCs w:val="24"/>
                <w:u w:val="none"/>
                <w:lang w:val="en-US"/>
              </w:rPr>
            </w:pPr>
            <w:r>
              <w:rPr>
                <w:rFonts w:hint="eastAsia" w:ascii="仿宋_GB2312" w:hAnsi="仿宋_GB2312" w:eastAsia="仿宋_GB2312" w:cs="仿宋_GB2312"/>
                <w:i w:val="0"/>
                <w:snapToGrid w:val="0"/>
                <w:color w:val="000000"/>
                <w:kern w:val="0"/>
                <w:sz w:val="24"/>
                <w:szCs w:val="24"/>
                <w:u w:val="none"/>
                <w:lang w:val="en-US" w:eastAsia="zh-CN"/>
              </w:rPr>
              <w:t>墓穴占地面积0.8平方米；墓体主材为花岗岩材料，含墓穴、墓碑、墓台；墓台构件含石阶、石栏等，绿植含万年青一株。</w:t>
            </w:r>
            <w:r>
              <w:rPr>
                <w:rFonts w:hint="eastAsia" w:ascii="仿宋_GB2312" w:hAnsi="仿宋_GB2312" w:eastAsia="仿宋_GB2312" w:cs="仿宋_GB2312"/>
                <w:i w:val="0"/>
                <w:snapToGrid w:val="0"/>
                <w:color w:val="000000"/>
                <w:kern w:val="0"/>
                <w:sz w:val="24"/>
                <w:szCs w:val="24"/>
                <w:u w:val="none"/>
                <w:lang w:val="en-US" w:eastAsia="zh-CN"/>
              </w:rPr>
              <w:br w:type="textWrapping"/>
            </w:r>
            <w:r>
              <w:rPr>
                <w:rFonts w:hint="eastAsia" w:ascii="仿宋_GB2312" w:hAnsi="仿宋_GB2312" w:eastAsia="仿宋_GB2312" w:cs="仿宋_GB2312"/>
                <w:i w:val="0"/>
                <w:snapToGrid w:val="0"/>
                <w:color w:val="000000"/>
                <w:kern w:val="0"/>
                <w:sz w:val="24"/>
                <w:szCs w:val="24"/>
                <w:u w:val="none"/>
                <w:lang w:val="en-US" w:eastAsia="zh-CN"/>
              </w:rPr>
              <w:t>已含建墓工料费、安葬费、刻字费等费用。</w:t>
            </w:r>
          </w:p>
        </w:tc>
        <w:tc>
          <w:tcPr>
            <w:tcW w:w="1413" w:type="dxa"/>
            <w:tcBorders>
              <w:tl2br w:val="nil"/>
              <w:tr2bl w:val="nil"/>
            </w:tcBorders>
            <w:noWrap w:val="0"/>
            <w:vAlign w:val="center"/>
          </w:tcPr>
          <w:p w14:paraId="28BD0AE2">
            <w:pPr>
              <w:keepNext w:val="0"/>
              <w:keepLines w:val="0"/>
              <w:pageBreakBefore w:val="0"/>
              <w:widowControl w:val="0"/>
              <w:kinsoku/>
              <w:wordWrap/>
              <w:overflowPunct w:val="0"/>
              <w:topLinePunct w:val="0"/>
              <w:autoSpaceDE/>
              <w:autoSpaceDN/>
              <w:bidi w:val="0"/>
              <w:adjustRightInd w:val="0"/>
              <w:snapToGrid w:val="0"/>
              <w:jc w:val="left"/>
              <w:rPr>
                <w:rFonts w:hint="default" w:ascii="仿宋_GB2312" w:hAnsi="仿宋_GB2312" w:eastAsia="仿宋_GB2312" w:cs="仿宋_GB2312"/>
                <w:i w:val="0"/>
                <w:snapToGrid w:val="0"/>
                <w:color w:val="000000"/>
                <w:kern w:val="0"/>
                <w:sz w:val="24"/>
                <w:szCs w:val="24"/>
                <w:u w:val="none"/>
                <w:lang w:val="en-US" w:eastAsia="zh-CN"/>
              </w:rPr>
            </w:pPr>
            <w:r>
              <w:rPr>
                <w:rFonts w:hint="eastAsia" w:ascii="仿宋_GB2312" w:hAnsi="仿宋_GB2312" w:eastAsia="仿宋_GB2312" w:cs="仿宋_GB2312"/>
                <w:i w:val="0"/>
                <w:snapToGrid w:val="0"/>
                <w:color w:val="000000"/>
                <w:kern w:val="0"/>
                <w:sz w:val="24"/>
                <w:szCs w:val="24"/>
                <w:u w:val="none"/>
                <w:lang w:val="en-US" w:eastAsia="zh-CN"/>
              </w:rPr>
              <w:t>符合条件的丧属可按《云南滇中新区综合管理部关于印发新区直管区殡葬惠民政策补助实施办法（暂行）的通知》的文件要求申请殡葬惠民补助</w:t>
            </w:r>
          </w:p>
        </w:tc>
        <w:tc>
          <w:tcPr>
            <w:tcW w:w="1494" w:type="dxa"/>
            <w:tcBorders>
              <w:tl2br w:val="nil"/>
              <w:tr2bl w:val="nil"/>
            </w:tcBorders>
            <w:noWrap w:val="0"/>
            <w:vAlign w:val="center"/>
          </w:tcPr>
          <w:p w14:paraId="3B2D6622">
            <w:pPr>
              <w:keepNext w:val="0"/>
              <w:keepLines w:val="0"/>
              <w:pageBreakBefore w:val="0"/>
              <w:widowControl w:val="0"/>
              <w:kinsoku/>
              <w:wordWrap/>
              <w:overflowPunct w:val="0"/>
              <w:topLinePunct w:val="0"/>
              <w:autoSpaceDE/>
              <w:autoSpaceDN/>
              <w:bidi w:val="0"/>
              <w:adjustRightInd w:val="0"/>
              <w:snapToGrid w:val="0"/>
              <w:jc w:val="both"/>
              <w:rPr>
                <w:rFonts w:hint="eastAsia" w:ascii="仿宋_GB2312" w:hAnsi="仿宋_GB2312" w:eastAsia="仿宋_GB2312" w:cs="仿宋_GB2312"/>
                <w:i w:val="0"/>
                <w:snapToGrid w:val="0"/>
                <w:color w:val="000000"/>
                <w:kern w:val="0"/>
                <w:sz w:val="24"/>
                <w:szCs w:val="24"/>
                <w:u w:val="none"/>
              </w:rPr>
            </w:pPr>
          </w:p>
        </w:tc>
      </w:tr>
    </w:tbl>
    <w:p w14:paraId="3C089F52">
      <w:pPr>
        <w:pStyle w:val="12"/>
        <w:ind w:left="0" w:leftChars="0" w:firstLine="0" w:firstLineChars="0"/>
        <w:rPr>
          <w:rFonts w:hint="eastAsia" w:ascii="黑体" w:hAnsi="黑体" w:eastAsia="黑体" w:cs="黑体"/>
          <w:sz w:val="28"/>
          <w:szCs w:val="28"/>
        </w:rPr>
      </w:pPr>
    </w:p>
    <w:p w14:paraId="0C731AB5">
      <w:pPr>
        <w:pStyle w:val="12"/>
        <w:rPr>
          <w:rFonts w:hint="eastAsia" w:ascii="黑体" w:hAnsi="黑体" w:eastAsia="黑体" w:cs="黑体"/>
          <w:sz w:val="28"/>
          <w:szCs w:val="28"/>
        </w:rPr>
      </w:pPr>
    </w:p>
    <w:p w14:paraId="34C3830F">
      <w:pPr>
        <w:pStyle w:val="12"/>
        <w:ind w:left="0" w:leftChars="0" w:firstLine="0" w:firstLineChars="0"/>
        <w:rPr>
          <w:rFonts w:hint="eastAsia" w:ascii="黑体" w:hAnsi="黑体" w:eastAsia="黑体" w:cs="黑体"/>
          <w:sz w:val="28"/>
          <w:szCs w:val="28"/>
        </w:rPr>
      </w:pPr>
    </w:p>
    <w:p w14:paraId="46F5BA99"/>
    <w:sectPr>
      <w:footerReference r:id="rId5" w:type="default"/>
      <w:pgSz w:w="16838" w:h="11906" w:orient="landscape"/>
      <w:pgMar w:top="1800" w:right="1440"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33603">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271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927100" cy="1828800"/>
                      </a:xfrm>
                      <a:prstGeom prst="rect">
                        <a:avLst/>
                      </a:prstGeom>
                      <a:noFill/>
                      <a:ln>
                        <a:noFill/>
                      </a:ln>
                      <a:effectLst/>
                    </wps:spPr>
                    <wps:txbx>
                      <w:txbxContent>
                        <w:p w14:paraId="5CE83757">
                          <w:pPr>
                            <w:widowControl w:val="0"/>
                            <w:snapToGrid w:val="0"/>
                            <w:jc w:val="left"/>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  </w:t>
                          </w:r>
                        </w:p>
                      </w:txbxContent>
                    </wps:txbx>
                    <wps:bodyPr wrap="square" lIns="0" tIns="0" rIns="0" bIns="0" upright="1">
                      <a:spAutoFit/>
                    </wps:bodyPr>
                  </wps:wsp>
                </a:graphicData>
              </a:graphic>
            </wp:anchor>
          </w:drawing>
        </mc:Choice>
        <mc:Fallback>
          <w:pict>
            <v:rect id="_x0000_s1026" o:spid="_x0000_s1026" o:spt="1" style="position:absolute;left:0pt;margin-top:0pt;height:144pt;width:73pt;mso-position-horizontal:outside;mso-position-horizontal-relative:margin;z-index:251659264;mso-width-relative:page;mso-height-relative:page;" filled="f" stroked="f" coordsize="21600,21600" o:gfxdata="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Dr7tUAAAAFAQAADwAAAAAAAAABACAAAAAiAAAAZHJzL2Rvd25y&#10;ZXYueG1sUEsBAhQAFAAAAAgAh07iQAXtj2vIAQAAmwMAAA4AAAAAAAAAAQAgAAAAJAEAAGRycy9l&#10;Mm9Eb2MueG1sUEsFBgAAAAAGAAYAWQEAAF4FAAAAAA==&#10;">
              <v:fill on="f" focussize="0,0"/>
              <v:stroke on="f"/>
              <v:imagedata o:title=""/>
              <o:lock v:ext="edit" aspectratio="f"/>
              <v:textbox inset="0mm,0mm,0mm,0mm" style="mso-fit-shape-to-text:t;">
                <w:txbxContent>
                  <w:p w14:paraId="5CE83757">
                    <w:pPr>
                      <w:widowControl w:val="0"/>
                      <w:snapToGrid w:val="0"/>
                      <w:jc w:val="left"/>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DFFAA8"/>
    <w:rsid w:val="148C0C4A"/>
    <w:rsid w:val="3B8531A5"/>
    <w:rsid w:val="54CB0E4B"/>
    <w:rsid w:val="60536E02"/>
    <w:rsid w:val="7DDFFA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1">
    <w:name w:val="Default Paragraph Font"/>
    <w:semiHidden/>
    <w:qFormat/>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2">
    <w:name w:val="Body Text Indent 2"/>
    <w:basedOn w:val="3"/>
    <w:next w:val="5"/>
    <w:qFormat/>
    <w:uiPriority w:val="0"/>
    <w:pPr>
      <w:spacing w:after="120" w:afterLines="0" w:line="480" w:lineRule="auto"/>
      <w:ind w:left="420" w:leftChars="200"/>
    </w:p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Body Text Indent 2_4df5e6db-b790-41a6-b1e0-6cc60450ce0f"/>
    <w:basedOn w:val="3"/>
    <w:qFormat/>
    <w:uiPriority w:val="0"/>
    <w:pPr>
      <w:spacing w:after="120" w:line="480" w:lineRule="auto"/>
      <w:ind w:left="420" w:leftChars="200"/>
    </w:pPr>
    <w:rPr>
      <w:rFonts w:ascii="Times New Roman" w:hAnsi="Times New Roman" w:eastAsia="宋体" w:cs="Calibri"/>
      <w:sz w:val="21"/>
      <w:szCs w:val="21"/>
    </w:rPr>
  </w:style>
  <w:style w:type="paragraph" w:styleId="5">
    <w:name w:val="Body Text First Indent 2"/>
    <w:basedOn w:val="1"/>
    <w:next w:val="1"/>
    <w:qFormat/>
    <w:uiPriority w:val="0"/>
    <w:pPr>
      <w:ind w:firstLine="420" w:firstLineChars="200"/>
    </w:pPr>
  </w:style>
  <w:style w:type="paragraph" w:styleId="6">
    <w:name w:val="Body Text"/>
    <w:basedOn w:val="1"/>
    <w:next w:val="7"/>
    <w:qFormat/>
    <w:uiPriority w:val="0"/>
    <w:pPr>
      <w:spacing w:after="120"/>
    </w:pPr>
    <w:rPr>
      <w:rFonts w:eastAsia="宋体"/>
      <w:szCs w:val="24"/>
    </w:rPr>
  </w:style>
  <w:style w:type="paragraph" w:styleId="7">
    <w:name w:val="toc 5"/>
    <w:basedOn w:val="1"/>
    <w:next w:val="1"/>
    <w:qFormat/>
    <w:uiPriority w:val="0"/>
    <w:pPr>
      <w:ind w:left="1680"/>
    </w:pPr>
    <w:rPr>
      <w:rFonts w:ascii="Calibri" w:hAnsi="Calibri"/>
    </w:rPr>
  </w:style>
  <w:style w:type="paragraph" w:styleId="8">
    <w:name w:val="footer"/>
    <w:basedOn w:val="1"/>
    <w:qFormat/>
    <w:uiPriority w:val="0"/>
    <w:pPr>
      <w:tabs>
        <w:tab w:val="center" w:pos="4153"/>
        <w:tab w:val="right" w:pos="8306"/>
      </w:tabs>
      <w:snapToGrid w:val="0"/>
      <w:jc w:val="left"/>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customStyle="1" w:styleId="12">
    <w:name w:val="正文首行缩进1"/>
    <w:basedOn w:val="6"/>
    <w:qFormat/>
    <w:uiPriority w:val="0"/>
    <w:pPr>
      <w:ind w:firstLine="420" w:firstLineChars="100"/>
    </w:pPr>
    <w:rPr>
      <w:rFonts w:ascii="Times New Roman" w:hAnsi="Times New Roman" w:eastAsia="宋体" w:cs="Times New Roman"/>
    </w:rPr>
  </w:style>
  <w:style w:type="character" w:customStyle="1" w:styleId="13">
    <w:name w:val="font51"/>
    <w:qFormat/>
    <w:uiPriority w:val="0"/>
    <w:rPr>
      <w:rFonts w:hint="eastAsia" w:ascii="黑体" w:hAnsi="宋体" w:eastAsia="黑体" w:cs="黑体"/>
      <w:color w:val="000000"/>
      <w:sz w:val="28"/>
      <w:szCs w:val="28"/>
      <w:u w:val="none"/>
    </w:rPr>
  </w:style>
  <w:style w:type="character" w:customStyle="1" w:styleId="14">
    <w:name w:val="font01"/>
    <w:qFormat/>
    <w:uiPriority w:val="0"/>
    <w:rPr>
      <w:rFonts w:hint="eastAsia" w:ascii="黑体" w:hAnsi="宋体" w:eastAsia="黑体" w:cs="黑体"/>
      <w:color w:val="000000"/>
      <w:sz w:val="24"/>
      <w:szCs w:val="24"/>
      <w:u w:val="none"/>
    </w:rPr>
  </w:style>
  <w:style w:type="character" w:customStyle="1" w:styleId="15">
    <w:name w:val="font21"/>
    <w:qFormat/>
    <w:uiPriority w:val="0"/>
    <w:rPr>
      <w:rFonts w:hint="eastAsia" w:ascii="黑体" w:hAnsi="宋体" w:eastAsia="黑体" w:cs="黑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313</Words>
  <Characters>328</Characters>
  <Lines>0</Lines>
  <Paragraphs>0</Paragraphs>
  <TotalTime>12</TotalTime>
  <ScaleCrop>false</ScaleCrop>
  <LinksUpToDate>false</LinksUpToDate>
  <CharactersWithSpaces>328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2025-09-01T09:29:00Z</dcterms:created>
  <dc:creator>user</dc:creator>
  <cp:lastModifiedBy>健康的死胖子周</cp:lastModifiedBy>
  <dcterms:modified xsi:type="dcterms:W3CDTF">2025-10-10T04:26:03Z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eyJoZGlkIjoiNjI4NmZkMTM5NWQ3MjQ2OWY4MTllODUyYTMxY2I1YmMiLCJ1c2VySWQiOiI2MjY1MjI5MjgifQ==</vt:lpwstr>
  </property>
  <property fmtid="{D5CDD505-2E9C-101B-9397-08002B2CF9AE}" pid="4" name="ICV">
    <vt:lpwstr>1DF221DAFD20456090F1D7F9F69C2893_13</vt:lpwstr>
  </property>
</Properties>
</file>