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2A98E">
      <w:pPr>
        <w:ind w:firstLine="0" w:firstLineChars="0"/>
        <w:jc w:val="center"/>
        <w:rPr>
          <w:rFonts w:hint="default" w:ascii="Times New Roman" w:hAnsi="Times New Roman" w:eastAsia="黑体" w:cs="Times New Roman"/>
          <w:color w:val="auto"/>
          <w:sz w:val="36"/>
          <w:szCs w:val="40"/>
          <w:highlight w:val="none"/>
        </w:rPr>
      </w:pPr>
      <w:r>
        <w:rPr>
          <w:rFonts w:hint="default" w:ascii="Times New Roman" w:hAnsi="Times New Roman" w:eastAsia="黑体" w:cs="Times New Roman"/>
          <w:color w:val="auto"/>
          <w:sz w:val="36"/>
          <w:szCs w:val="40"/>
          <w:highlight w:val="none"/>
        </w:rPr>
        <w:t>新建渝昆高铁工程昆明空港段中铁十八局附属配套设施第二批临时用地土地复垦方案</w:t>
      </w:r>
    </w:p>
    <w:p w14:paraId="1444746C">
      <w:pPr>
        <w:pStyle w:val="2"/>
        <w:ind w:firstLine="2880" w:firstLineChars="800"/>
        <w:jc w:val="both"/>
        <w:rPr>
          <w:rFonts w:hint="eastAsia" w:eastAsia="黑体"/>
          <w:lang w:eastAsia="zh-CN"/>
        </w:rPr>
      </w:pPr>
      <w:r>
        <w:rPr>
          <w:rFonts w:hint="eastAsia" w:eastAsia="黑体" w:cs="Times New Roman"/>
          <w:color w:val="auto"/>
          <w:sz w:val="36"/>
          <w:szCs w:val="40"/>
          <w:highlight w:val="none"/>
          <w:lang w:eastAsia="zh-CN"/>
        </w:rPr>
        <w:t>（公示稿）</w:t>
      </w:r>
    </w:p>
    <w:p w14:paraId="36A5C802">
      <w:pPr>
        <w:ind w:firstLine="480"/>
        <w:rPr>
          <w:rFonts w:hint="default" w:ascii="Times New Roman" w:hAnsi="Times New Roman" w:cs="Times New Roman"/>
          <w:color w:val="auto"/>
          <w:highlight w:val="none"/>
        </w:rPr>
      </w:pPr>
    </w:p>
    <w:p w14:paraId="675F9231">
      <w:pPr>
        <w:ind w:firstLine="480"/>
        <w:rPr>
          <w:rFonts w:hint="default" w:ascii="Times New Roman" w:hAnsi="Times New Roman" w:cs="Times New Roman"/>
          <w:color w:val="auto"/>
          <w:highlight w:val="none"/>
        </w:rPr>
      </w:pPr>
    </w:p>
    <w:p w14:paraId="020F2A65">
      <w:pPr>
        <w:ind w:firstLine="480"/>
        <w:rPr>
          <w:rFonts w:hint="default" w:ascii="Times New Roman" w:hAnsi="Times New Roman" w:cs="Times New Roman"/>
          <w:color w:val="auto"/>
          <w:highlight w:val="none"/>
        </w:rPr>
      </w:pPr>
    </w:p>
    <w:p w14:paraId="11FB4635">
      <w:pPr>
        <w:ind w:firstLine="480"/>
        <w:rPr>
          <w:rFonts w:hint="default" w:ascii="Times New Roman" w:hAnsi="Times New Roman" w:cs="Times New Roman"/>
          <w:color w:val="auto"/>
          <w:highlight w:val="none"/>
        </w:rPr>
      </w:pPr>
    </w:p>
    <w:p w14:paraId="6E82C0C3">
      <w:pPr>
        <w:ind w:firstLine="480"/>
        <w:rPr>
          <w:rFonts w:hint="default" w:ascii="Times New Roman" w:hAnsi="Times New Roman" w:cs="Times New Roman"/>
          <w:color w:val="auto"/>
          <w:highlight w:val="none"/>
        </w:rPr>
      </w:pPr>
    </w:p>
    <w:p w14:paraId="1DD33360">
      <w:pPr>
        <w:ind w:firstLine="480"/>
        <w:rPr>
          <w:rFonts w:hint="default" w:ascii="Times New Roman" w:hAnsi="Times New Roman" w:cs="Times New Roman"/>
          <w:color w:val="auto"/>
          <w:highlight w:val="none"/>
        </w:rPr>
      </w:pPr>
    </w:p>
    <w:p w14:paraId="34DF90BE">
      <w:pPr>
        <w:ind w:firstLine="480"/>
        <w:rPr>
          <w:rFonts w:hint="default" w:ascii="Times New Roman" w:hAnsi="Times New Roman" w:cs="Times New Roman"/>
          <w:color w:val="auto"/>
          <w:highlight w:val="none"/>
        </w:rPr>
      </w:pPr>
    </w:p>
    <w:p w14:paraId="110E1541">
      <w:pPr>
        <w:ind w:firstLine="480"/>
        <w:rPr>
          <w:rFonts w:hint="default" w:ascii="Times New Roman" w:hAnsi="Times New Roman" w:cs="Times New Roman"/>
          <w:color w:val="auto"/>
          <w:highlight w:val="none"/>
        </w:rPr>
      </w:pPr>
    </w:p>
    <w:p w14:paraId="29DB2017">
      <w:pPr>
        <w:ind w:firstLine="480"/>
        <w:rPr>
          <w:rFonts w:hint="default" w:ascii="Times New Roman" w:hAnsi="Times New Roman" w:cs="Times New Roman"/>
          <w:color w:val="auto"/>
          <w:highlight w:val="none"/>
        </w:rPr>
      </w:pPr>
    </w:p>
    <w:p w14:paraId="187641EC">
      <w:pPr>
        <w:ind w:firstLine="480"/>
        <w:rPr>
          <w:rFonts w:hint="default" w:ascii="Times New Roman" w:hAnsi="Times New Roman" w:eastAsia="FangSong_GB2312" w:cs="Times New Roman"/>
          <w:color w:val="auto"/>
          <w:highlight w:val="none"/>
          <w:lang w:eastAsia="zh-CN"/>
        </w:rPr>
      </w:pPr>
    </w:p>
    <w:p w14:paraId="4AFA45AA">
      <w:pPr>
        <w:pStyle w:val="2"/>
        <w:rPr>
          <w:rFonts w:hint="default" w:ascii="Times New Roman" w:hAnsi="Times New Roman" w:cs="Times New Roman"/>
          <w:color w:val="auto"/>
          <w:highlight w:val="none"/>
          <w:lang w:eastAsia="zh-CN"/>
        </w:rPr>
      </w:pPr>
    </w:p>
    <w:p w14:paraId="72834F9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highlight w:val="none"/>
        </w:rPr>
      </w:pPr>
      <w:r>
        <w:rPr>
          <w:rFonts w:hint="eastAsia" w:eastAsia="黑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项目单位：中铁十八局集团有限公司渝昆高铁引入昆明枢纽工程项目经理部</w:t>
      </w:r>
    </w:p>
    <w:p w14:paraId="2EC7D359">
      <w:pPr>
        <w:ind w:firstLine="1200" w:firstLineChars="400"/>
        <w:jc w:val="both"/>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编制单位：云南坤舆测绘科技有限公司</w:t>
      </w:r>
    </w:p>
    <w:p w14:paraId="01B3D292">
      <w:pPr>
        <w:keepNext w:val="0"/>
        <w:keepLines w:val="0"/>
        <w:pageBreakBefore w:val="0"/>
        <w:widowControl w:val="0"/>
        <w:kinsoku/>
        <w:wordWrap/>
        <w:overflowPunct/>
        <w:topLinePunct w:val="0"/>
        <w:autoSpaceDE/>
        <w:autoSpaceDN/>
        <w:bidi w:val="0"/>
        <w:adjustRightInd/>
        <w:snapToGrid/>
        <w:ind w:firstLine="1200" w:firstLineChars="400"/>
        <w:jc w:val="left"/>
        <w:textAlignment w:val="auto"/>
        <w:rPr>
          <w:rFonts w:hint="default" w:ascii="Times New Roman" w:hAnsi="Times New Roman" w:eastAsia="黑体" w:cs="Times New Roman"/>
          <w:color w:val="auto"/>
          <w:sz w:val="30"/>
          <w:szCs w:val="30"/>
          <w:highlight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eastAsia="黑体" w:cs="Times New Roman"/>
          <w:color w:val="auto"/>
          <w:sz w:val="30"/>
          <w:szCs w:val="30"/>
          <w:highlight w:val="none"/>
          <w:lang w:val="en-US" w:eastAsia="zh-CN"/>
        </w:rPr>
        <w:t>编制</w:t>
      </w:r>
      <w:r>
        <w:rPr>
          <w:rFonts w:hint="default" w:ascii="Times New Roman" w:hAnsi="Times New Roman" w:eastAsia="黑体" w:cs="Times New Roman"/>
          <w:color w:val="auto"/>
          <w:sz w:val="30"/>
          <w:szCs w:val="30"/>
          <w:highlight w:val="none"/>
        </w:rPr>
        <w:t>日期：二</w:t>
      </w:r>
      <w:r>
        <w:rPr>
          <w:rFonts w:hint="eastAsia" w:eastAsia="黑体" w:cs="Times New Roman"/>
          <w:color w:val="auto"/>
          <w:sz w:val="30"/>
          <w:szCs w:val="30"/>
          <w:highlight w:val="none"/>
          <w:lang w:val="en-US" w:eastAsia="zh-CN"/>
        </w:rPr>
        <w:t>〇</w:t>
      </w:r>
      <w:r>
        <w:rPr>
          <w:rFonts w:hint="default" w:ascii="Times New Roman" w:hAnsi="Times New Roman" w:eastAsia="黑体" w:cs="Times New Roman"/>
          <w:color w:val="auto"/>
          <w:sz w:val="30"/>
          <w:szCs w:val="30"/>
          <w:highlight w:val="none"/>
        </w:rPr>
        <w:t>二三年</w:t>
      </w:r>
      <w:r>
        <w:rPr>
          <w:rFonts w:hint="eastAsia" w:eastAsia="黑体" w:cs="Times New Roman"/>
          <w:color w:val="auto"/>
          <w:sz w:val="30"/>
          <w:szCs w:val="30"/>
          <w:highlight w:val="none"/>
          <w:lang w:eastAsia="zh-CN"/>
        </w:rPr>
        <w:t>九</w:t>
      </w:r>
      <w:r>
        <w:rPr>
          <w:rFonts w:hint="default" w:ascii="Times New Roman" w:hAnsi="Times New Roman" w:eastAsia="黑体" w:cs="Times New Roman"/>
          <w:color w:val="auto"/>
          <w:sz w:val="30"/>
          <w:szCs w:val="30"/>
          <w:highlight w:val="none"/>
        </w:rPr>
        <w:t>月</w:t>
      </w:r>
    </w:p>
    <w:p w14:paraId="60124760">
      <w:pPr>
        <w:pStyle w:val="9"/>
        <w:jc w:val="center"/>
        <w:rPr>
          <w:rFonts w:hint="eastAsia" w:ascii="Times New Roman" w:hAnsi="Times New Roman" w:eastAsia="黑体" w:cs="Times New Roman"/>
          <w:b w:val="0"/>
          <w:color w:val="auto"/>
          <w:sz w:val="32"/>
          <w:szCs w:val="32"/>
          <w:highlight w:val="none"/>
          <w:lang w:eastAsia="zh-CN"/>
        </w:rPr>
      </w:pPr>
      <w:r>
        <w:rPr>
          <w:rFonts w:hint="eastAsia" w:ascii="Times New Roman" w:hAnsi="Times New Roman" w:eastAsia="黑体" w:cs="Times New Roman"/>
          <w:b w:val="0"/>
          <w:color w:val="auto"/>
          <w:sz w:val="32"/>
          <w:szCs w:val="32"/>
          <w:highlight w:val="none"/>
          <w:lang w:eastAsia="zh-CN"/>
        </w:rPr>
        <w:t>第一部分</w:t>
      </w:r>
      <w:r>
        <w:rPr>
          <w:rFonts w:hint="eastAsia" w:ascii="Times New Roman" w:hAnsi="Times New Roman" w:eastAsia="黑体" w:cs="Times New Roman"/>
          <w:b w:val="0"/>
          <w:color w:val="auto"/>
          <w:sz w:val="32"/>
          <w:szCs w:val="32"/>
          <w:highlight w:val="none"/>
          <w:lang w:val="en-US" w:eastAsia="zh-CN"/>
        </w:rPr>
        <w:t xml:space="preserve"> </w:t>
      </w:r>
      <w:r>
        <w:rPr>
          <w:rFonts w:hint="eastAsia" w:ascii="Times New Roman" w:hAnsi="Times New Roman" w:eastAsia="黑体" w:cs="Times New Roman"/>
          <w:b w:val="0"/>
          <w:color w:val="auto"/>
          <w:sz w:val="32"/>
          <w:szCs w:val="32"/>
          <w:highlight w:val="none"/>
          <w:lang w:eastAsia="zh-CN"/>
        </w:rPr>
        <w:t>方案编制背景</w:t>
      </w:r>
    </w:p>
    <w:p w14:paraId="2F979A6C">
      <w:pPr>
        <w:pStyle w:val="8"/>
        <w:jc w:val="left"/>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一、任务由来</w:t>
      </w:r>
    </w:p>
    <w:p w14:paraId="7EF7A53C">
      <w:pPr>
        <w:keepNext w:val="0"/>
        <w:keepLines w:val="0"/>
        <w:pageBreakBefore w:val="0"/>
        <w:widowControl w:val="0"/>
        <w:tabs>
          <w:tab w:val="left" w:pos="1837"/>
        </w:tabs>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重庆至昆明高速铁路（云南段）是京昆高铁的南部路段，是我国西南地区重要的铁路干线，与规划中的西渝高铁共同构成西南与中原、华北、东北地区的快速铁路大通道。是我国北京—郑州—重庆—昆明斜向铁路大通道的一段，是我国重要的区际干线铁路，通过宜宾与建设中的的成贵高铁相连，形成昆明至成都高速铁路新通道。渝昆高速铁路在昆明与建设中的沪昆高速铁路、成昆铁路复线、云桂高铁相连，未来还将延伸出泛亚高铁，形成联系中国和东盟的高速铁路通道。京昆高铁的建设，将成为联系首都北京，中原与西南地区的区际间大通道，也是联系北京与东南亚的国际铁路大通道。新建重庆至昆明高速铁路京昆高铁对长江经济带的发展，加快构建京昆高速铁路通道，加强了渝城市群与滇中城市群的联系，促进了沿线社会经济发展和脱贫攻坚具有重大意义。</w:t>
      </w:r>
    </w:p>
    <w:p w14:paraId="12EDCED7">
      <w:pPr>
        <w:keepNext w:val="0"/>
        <w:keepLines w:val="0"/>
        <w:pageBreakBefore w:val="0"/>
        <w:widowControl w:val="0"/>
        <w:tabs>
          <w:tab w:val="left" w:pos="1837"/>
        </w:tabs>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线路自重庆西站引出，经重庆市江津区、永川区，四川省泸州市、宜宾市，贵州省毕节市，云南省昭通市、曲靖市，终至昆明南站。正线全长699公里，其中新建正线681公里，利用在建自贡至宜宾高速铁路18公里。全线设站20座(预留车站1座)。同步建设本线至重庆西站渝黔场疏解线、至沪昆高铁嵩明站联络线、至洛羊镇联络线，改建渝黔铁路重庆西站至井口站区间为双线，新建昆明西客站、重庆西动车所8线动车组检查库。铁路等级：高速铁路。正线数目：双线。设计速度目标值：350公里/小时。最小曲线半径：7000米(困难地段5500米)。最大坡度：20‰(困难地段30%)。牵引种类：电力牵引。到发线有效长度：650米。</w:t>
      </w:r>
    </w:p>
    <w:p w14:paraId="1BFF8E7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FangSong_GB2312"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主体工程</w:t>
      </w:r>
      <w:r>
        <w:rPr>
          <w:rFonts w:hint="default" w:ascii="Times New Roman" w:hAnsi="Times New Roman" w:eastAsia="FangSong_GB2312" w:cs="Times New Roman"/>
          <w:color w:val="auto"/>
          <w:kern w:val="2"/>
          <w:sz w:val="24"/>
          <w:szCs w:val="22"/>
          <w:highlight w:val="none"/>
          <w:lang w:val="en-US" w:eastAsia="zh-CN" w:bidi="ar-SA"/>
        </w:rPr>
        <w:t>于2021年11月18日取得林资许准（滇）〔202</w:t>
      </w:r>
      <w:r>
        <w:rPr>
          <w:rFonts w:hint="eastAsia" w:cs="Times New Roman"/>
          <w:color w:val="auto"/>
          <w:kern w:val="2"/>
          <w:sz w:val="24"/>
          <w:szCs w:val="22"/>
          <w:highlight w:val="none"/>
          <w:lang w:val="en-US" w:eastAsia="zh-CN" w:bidi="ar-SA"/>
        </w:rPr>
        <w:t>1</w:t>
      </w:r>
      <w:r>
        <w:rPr>
          <w:rFonts w:hint="default" w:ascii="Times New Roman" w:hAnsi="Times New Roman" w:eastAsia="FangSong_GB2312" w:cs="Times New Roman"/>
          <w:color w:val="auto"/>
          <w:kern w:val="2"/>
          <w:sz w:val="24"/>
          <w:szCs w:val="22"/>
          <w:highlight w:val="none"/>
          <w:lang w:val="en-US" w:eastAsia="zh-CN" w:bidi="ar-SA"/>
        </w:rPr>
        <w:t>〕26号文《国家林业和草原局准予行政许可决定书》、2019年12月18日水许可决〔20</w:t>
      </w:r>
      <w:r>
        <w:rPr>
          <w:rFonts w:hint="eastAsia" w:cs="Times New Roman"/>
          <w:color w:val="auto"/>
          <w:kern w:val="2"/>
          <w:sz w:val="24"/>
          <w:szCs w:val="22"/>
          <w:highlight w:val="none"/>
          <w:lang w:val="en-US" w:eastAsia="zh-CN" w:bidi="ar-SA"/>
        </w:rPr>
        <w:t>19</w:t>
      </w:r>
      <w:r>
        <w:rPr>
          <w:rFonts w:hint="default" w:ascii="Times New Roman" w:hAnsi="Times New Roman" w:eastAsia="FangSong_GB2312" w:cs="Times New Roman"/>
          <w:color w:val="auto"/>
          <w:kern w:val="2"/>
          <w:sz w:val="24"/>
          <w:szCs w:val="22"/>
          <w:highlight w:val="none"/>
          <w:lang w:val="en-US" w:eastAsia="zh-CN" w:bidi="ar-SA"/>
        </w:rPr>
        <w:t>〕96号文《新建重庆至昆明高速铁路水土保持方案审批准予行政许可决定书》、2020年4月3日环审〔202</w:t>
      </w:r>
      <w:r>
        <w:rPr>
          <w:rFonts w:hint="eastAsia" w:cs="Times New Roman"/>
          <w:color w:val="auto"/>
          <w:kern w:val="2"/>
          <w:sz w:val="24"/>
          <w:szCs w:val="22"/>
          <w:highlight w:val="none"/>
          <w:lang w:val="en-US" w:eastAsia="zh-CN" w:bidi="ar-SA"/>
        </w:rPr>
        <w:t>0</w:t>
      </w:r>
      <w:r>
        <w:rPr>
          <w:rFonts w:hint="default" w:ascii="Times New Roman" w:hAnsi="Times New Roman" w:eastAsia="FangSong_GB2312" w:cs="Times New Roman"/>
          <w:color w:val="auto"/>
          <w:kern w:val="2"/>
          <w:sz w:val="24"/>
          <w:szCs w:val="22"/>
          <w:highlight w:val="none"/>
          <w:lang w:val="en-US" w:eastAsia="zh-CN" w:bidi="ar-SA"/>
        </w:rPr>
        <w:t>〕46号《关于新建重庆至昆明高速铁路环境影响报告书的批复》、2019年9月4日《国家发展改革委关于新建重庆至昆明高速铁路可行性研究报告的批复》2021年4月24日铁鉴函〔202</w:t>
      </w:r>
      <w:r>
        <w:rPr>
          <w:rFonts w:hint="eastAsia" w:cs="Times New Roman"/>
          <w:color w:val="auto"/>
          <w:kern w:val="2"/>
          <w:sz w:val="24"/>
          <w:szCs w:val="22"/>
          <w:highlight w:val="none"/>
          <w:lang w:val="en-US" w:eastAsia="zh-CN" w:bidi="ar-SA"/>
        </w:rPr>
        <w:t>1</w:t>
      </w:r>
      <w:r>
        <w:rPr>
          <w:rFonts w:hint="default" w:ascii="Times New Roman" w:hAnsi="Times New Roman" w:eastAsia="FangSong_GB2312" w:cs="Times New Roman"/>
          <w:color w:val="auto"/>
          <w:kern w:val="2"/>
          <w:sz w:val="24"/>
          <w:szCs w:val="22"/>
          <w:highlight w:val="none"/>
          <w:lang w:val="en-US" w:eastAsia="zh-CN" w:bidi="ar-SA"/>
        </w:rPr>
        <w:t>〕171号文件《国铁集团 云南省人民政府 贵州省人民政府关于新建重庆至昆明高速铁路云贵段初步设计的批复》。本项目涉及违法用地，于202</w:t>
      </w:r>
      <w:r>
        <w:rPr>
          <w:rFonts w:hint="eastAsia" w:ascii="Times New Roman" w:hAnsi="Times New Roman" w:eastAsia="FangSong_GB2312" w:cs="Times New Roman"/>
          <w:color w:val="auto"/>
          <w:kern w:val="2"/>
          <w:sz w:val="24"/>
          <w:szCs w:val="22"/>
          <w:highlight w:val="none"/>
          <w:lang w:val="en-US" w:eastAsia="zh-CN" w:bidi="ar-SA"/>
        </w:rPr>
        <w:t>3</w:t>
      </w:r>
      <w:r>
        <w:rPr>
          <w:rFonts w:hint="default" w:ascii="Times New Roman" w:hAnsi="Times New Roman" w:eastAsia="FangSong_GB2312" w:cs="Times New Roman"/>
          <w:color w:val="auto"/>
          <w:kern w:val="2"/>
          <w:sz w:val="24"/>
          <w:szCs w:val="22"/>
          <w:highlight w:val="none"/>
          <w:lang w:val="en-US" w:eastAsia="zh-CN" w:bidi="ar-SA"/>
        </w:rPr>
        <w:t xml:space="preserve">年 </w:t>
      </w:r>
      <w:r>
        <w:rPr>
          <w:rFonts w:hint="eastAsia" w:ascii="Times New Roman" w:hAnsi="Times New Roman" w:eastAsia="FangSong_GB2312" w:cs="Times New Roman"/>
          <w:color w:val="auto"/>
          <w:kern w:val="2"/>
          <w:sz w:val="24"/>
          <w:szCs w:val="22"/>
          <w:highlight w:val="none"/>
          <w:lang w:val="en-US" w:eastAsia="zh-CN" w:bidi="ar-SA"/>
        </w:rPr>
        <w:t>4</w:t>
      </w:r>
      <w:r>
        <w:rPr>
          <w:rFonts w:hint="default" w:ascii="Times New Roman" w:hAnsi="Times New Roman" w:eastAsia="FangSong_GB2312" w:cs="Times New Roman"/>
          <w:color w:val="auto"/>
          <w:kern w:val="2"/>
          <w:sz w:val="24"/>
          <w:szCs w:val="22"/>
          <w:highlight w:val="none"/>
          <w:lang w:val="en-US" w:eastAsia="zh-CN" w:bidi="ar-SA"/>
        </w:rPr>
        <w:t>月</w:t>
      </w:r>
      <w:r>
        <w:rPr>
          <w:rFonts w:hint="eastAsia" w:ascii="Times New Roman" w:hAnsi="Times New Roman" w:eastAsia="FangSong_GB2312" w:cs="Times New Roman"/>
          <w:color w:val="auto"/>
          <w:kern w:val="2"/>
          <w:sz w:val="24"/>
          <w:szCs w:val="22"/>
          <w:highlight w:val="none"/>
          <w:lang w:val="en-US" w:eastAsia="zh-CN" w:bidi="ar-SA"/>
        </w:rPr>
        <w:t>27</w:t>
      </w:r>
      <w:r>
        <w:rPr>
          <w:rFonts w:hint="default" w:ascii="Times New Roman" w:hAnsi="Times New Roman" w:eastAsia="FangSong_GB2312" w:cs="Times New Roman"/>
          <w:color w:val="auto"/>
          <w:kern w:val="2"/>
          <w:sz w:val="24"/>
          <w:szCs w:val="22"/>
          <w:highlight w:val="none"/>
          <w:lang w:val="en-US" w:eastAsia="zh-CN" w:bidi="ar-SA"/>
        </w:rPr>
        <w:t>日被</w:t>
      </w:r>
      <w:r>
        <w:rPr>
          <w:rFonts w:hint="eastAsia" w:ascii="Times New Roman" w:hAnsi="Times New Roman" w:eastAsia="FangSong_GB2312" w:cs="Times New Roman"/>
          <w:color w:val="auto"/>
          <w:kern w:val="2"/>
          <w:sz w:val="24"/>
          <w:szCs w:val="22"/>
          <w:highlight w:val="none"/>
          <w:lang w:val="en-US" w:eastAsia="zh-CN" w:bidi="ar-SA"/>
        </w:rPr>
        <w:t>云南滇中新区自然资源规划</w:t>
      </w:r>
      <w:r>
        <w:rPr>
          <w:rFonts w:hint="eastAsia" w:cs="Times New Roman"/>
          <w:color w:val="auto"/>
          <w:kern w:val="2"/>
          <w:sz w:val="24"/>
          <w:szCs w:val="22"/>
          <w:highlight w:val="none"/>
          <w:lang w:val="en-US" w:eastAsia="zh-CN" w:bidi="ar-SA"/>
        </w:rPr>
        <w:t>局</w:t>
      </w:r>
      <w:r>
        <w:rPr>
          <w:rFonts w:hint="default" w:ascii="Times New Roman" w:hAnsi="Times New Roman" w:eastAsia="FangSong_GB2312" w:cs="Times New Roman"/>
          <w:color w:val="auto"/>
          <w:kern w:val="2"/>
          <w:sz w:val="24"/>
          <w:szCs w:val="22"/>
          <w:highlight w:val="none"/>
          <w:lang w:val="en-US" w:eastAsia="zh-CN" w:bidi="ar-SA"/>
        </w:rPr>
        <w:t>处罚，</w:t>
      </w:r>
      <w:r>
        <w:rPr>
          <w:rFonts w:hint="eastAsia" w:cs="Times New Roman"/>
          <w:color w:val="auto"/>
          <w:kern w:val="2"/>
          <w:sz w:val="24"/>
          <w:szCs w:val="22"/>
          <w:highlight w:val="none"/>
          <w:lang w:val="en-US" w:eastAsia="zh-CN" w:bidi="ar-SA"/>
        </w:rPr>
        <w:t>项目于2021年8月占用大板桥园艺场国有土地42640.00m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，比对官渡区2020年度土地利用现状数据库，其中涉及耕地面积为38280.0m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，林地693.33m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，其他农用地3666.67m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；叠加《官渡区土地利用总体规划</w:t>
      </w:r>
      <w:r>
        <w:rPr>
          <w:rFonts w:hint="default" w:ascii="Times New Roman" w:hAnsi="Times New Roman" w:eastAsia="FangSong_GB2312" w:cs="Times New Roman"/>
          <w:color w:val="auto"/>
          <w:kern w:val="2"/>
          <w:sz w:val="24"/>
          <w:szCs w:val="22"/>
          <w:highlight w:val="none"/>
          <w:lang w:val="en-US" w:eastAsia="zh-CN" w:bidi="ar-SA"/>
        </w:rPr>
        <w:t>〔</w:t>
      </w:r>
      <w:r>
        <w:rPr>
          <w:rFonts w:hint="eastAsia" w:cs="Times New Roman"/>
          <w:color w:val="auto"/>
          <w:kern w:val="2"/>
          <w:sz w:val="24"/>
          <w:szCs w:val="22"/>
          <w:highlight w:val="none"/>
          <w:lang w:val="en-US" w:eastAsia="zh-CN" w:bidi="ar-SA"/>
        </w:rPr>
        <w:t>2015-2020</w:t>
      </w:r>
      <w:r>
        <w:rPr>
          <w:rFonts w:hint="default" w:ascii="Times New Roman" w:hAnsi="Times New Roman" w:eastAsia="FangSong_GB2312" w:cs="Times New Roman"/>
          <w:color w:val="auto"/>
          <w:kern w:val="2"/>
          <w:sz w:val="24"/>
          <w:szCs w:val="22"/>
          <w:highlight w:val="none"/>
          <w:lang w:val="en-US" w:eastAsia="zh-CN" w:bidi="ar-SA"/>
        </w:rPr>
        <w:t>〕</w:t>
      </w:r>
      <w:r>
        <w:rPr>
          <w:rFonts w:hint="eastAsia" w:cs="Times New Roman"/>
          <w:color w:val="auto"/>
          <w:kern w:val="2"/>
          <w:sz w:val="24"/>
          <w:szCs w:val="22"/>
          <w:highlight w:val="none"/>
          <w:lang w:val="en-US" w:eastAsia="zh-CN" w:bidi="ar-SA"/>
        </w:rPr>
        <w:t>》数据库，该用地不符合官渡区土地利用总体规划；叠加《空港经济区国土空间规划三区三线》数据，不占永久基本农田；</w:t>
      </w:r>
      <w:r>
        <w:rPr>
          <w:rFonts w:hint="default" w:ascii="Times New Roman" w:hAnsi="Times New Roman" w:eastAsia="FangSong_GB2312" w:cs="Times New Roman"/>
          <w:color w:val="auto"/>
          <w:kern w:val="2"/>
          <w:sz w:val="24"/>
          <w:szCs w:val="22"/>
          <w:highlight w:val="none"/>
          <w:lang w:val="en-US" w:eastAsia="zh-CN" w:bidi="ar-SA"/>
        </w:rPr>
        <w:t>涉及违法</w:t>
      </w:r>
      <w:r>
        <w:rPr>
          <w:rFonts w:hint="eastAsia" w:cs="Times New Roman"/>
          <w:color w:val="auto"/>
          <w:kern w:val="2"/>
          <w:sz w:val="24"/>
          <w:szCs w:val="22"/>
          <w:highlight w:val="none"/>
          <w:lang w:val="en-US" w:eastAsia="zh-CN" w:bidi="ar-SA"/>
        </w:rPr>
        <w:t>用地范围为第一批临时用地范围及第二批临时用地范围</w:t>
      </w:r>
      <w:r>
        <w:rPr>
          <w:rFonts w:hint="eastAsia" w:cs="Times New Roman"/>
          <w:b w:val="0"/>
          <w:bCs w:val="0"/>
          <w:color w:val="auto"/>
          <w:kern w:val="2"/>
          <w:sz w:val="24"/>
          <w:szCs w:val="22"/>
          <w:highlight w:val="none"/>
          <w:lang w:val="en-US" w:eastAsia="zh-CN" w:bidi="ar-SA"/>
        </w:rPr>
        <w:t>（农用地表土剥离堆放场、临时临时生活用房、取土场），</w:t>
      </w:r>
      <w:r>
        <w:rPr>
          <w:rFonts w:hint="eastAsia" w:cs="Times New Roman"/>
          <w:color w:val="auto"/>
          <w:kern w:val="2"/>
          <w:sz w:val="24"/>
          <w:szCs w:val="22"/>
          <w:highlight w:val="none"/>
          <w:lang w:val="en-US" w:eastAsia="zh-CN" w:bidi="ar-SA"/>
        </w:rPr>
        <w:t>涉及第一批临时用地范围面积0.4874hm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中铁十八局集团有限公司渝昆高铁引入昆明枢纽工程项目经理部于2022年5月编制完成《新建渝昆高铁工程昆明空港段中铁十八局附属配套设施第一批临时用地土地复垦方案》，并于2022年5月经专家组评审通过；第二批临时用地范围面积3.2349h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，涉及违法用地范围及地块</w:t>
      </w:r>
      <w:r>
        <w:rPr>
          <w:rFonts w:hint="default" w:ascii="Times New Roman" w:hAnsi="Times New Roman" w:eastAsia="FangSong_GB2312" w:cs="Times New Roman"/>
          <w:color w:val="auto"/>
          <w:kern w:val="2"/>
          <w:sz w:val="24"/>
          <w:szCs w:val="22"/>
          <w:highlight w:val="none"/>
          <w:lang w:val="en-US" w:eastAsia="zh-CN" w:bidi="ar-SA"/>
        </w:rPr>
        <w:t>纳入本次复垦责任范围。</w:t>
      </w:r>
    </w:p>
    <w:p w14:paraId="11A3235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FangSong_GB2312" w:cs="Times New Roman"/>
          <w:color w:val="auto"/>
          <w:kern w:val="2"/>
          <w:sz w:val="24"/>
          <w:szCs w:val="22"/>
          <w:highlight w:val="none"/>
          <w:lang w:val="en-US" w:eastAsia="zh-CN" w:bidi="ar-SA"/>
        </w:rPr>
      </w:pPr>
      <w:r>
        <w:rPr>
          <w:rFonts w:hint="default" w:ascii="Times New Roman" w:hAnsi="Times New Roman" w:eastAsia="FangSong_GB2312" w:cs="Times New Roman"/>
          <w:color w:val="auto"/>
          <w:kern w:val="2"/>
          <w:sz w:val="24"/>
          <w:szCs w:val="22"/>
          <w:highlight w:val="none"/>
          <w:lang w:val="en-US" w:eastAsia="zh-CN" w:bidi="ar-SA"/>
        </w:rPr>
        <w:t>新建渝昆高铁工程昆明空港段中铁十八局附属配套设施第二批临时用地共涉及</w:t>
      </w:r>
      <w:r>
        <w:rPr>
          <w:rFonts w:hint="eastAsia" w:cs="Times New Roman"/>
          <w:color w:val="auto"/>
          <w:kern w:val="2"/>
          <w:sz w:val="24"/>
          <w:szCs w:val="22"/>
          <w:highlight w:val="none"/>
          <w:lang w:val="en-US" w:eastAsia="zh-CN" w:bidi="ar-SA"/>
        </w:rPr>
        <w:t>2</w:t>
      </w:r>
      <w:r>
        <w:rPr>
          <w:rFonts w:hint="default" w:ascii="Times New Roman" w:hAnsi="Times New Roman" w:eastAsia="FangSong_GB2312" w:cs="Times New Roman"/>
          <w:color w:val="auto"/>
          <w:kern w:val="2"/>
          <w:sz w:val="24"/>
          <w:szCs w:val="22"/>
          <w:highlight w:val="none"/>
          <w:lang w:val="en-US" w:eastAsia="zh-CN" w:bidi="ar-SA"/>
        </w:rPr>
        <w:t>个地块，</w:t>
      </w:r>
      <w:r>
        <w:rPr>
          <w:rFonts w:hint="eastAsia" w:cs="Times New Roman"/>
          <w:color w:val="auto"/>
          <w:kern w:val="2"/>
          <w:sz w:val="24"/>
          <w:szCs w:val="22"/>
          <w:highlight w:val="none"/>
          <w:lang w:val="en-US" w:eastAsia="zh-CN" w:bidi="ar-SA"/>
        </w:rPr>
        <w:t>地块一为取土场，地块二分布的功能区有临时生活用房、农用地表土剥离堆放场，现状均为已损毁</w:t>
      </w:r>
      <w:r>
        <w:rPr>
          <w:rFonts w:hint="default" w:ascii="Times New Roman" w:hAnsi="Times New Roman" w:cs="Times New Roman"/>
          <w:color w:val="auto"/>
          <w:kern w:val="2"/>
          <w:sz w:val="24"/>
          <w:szCs w:val="22"/>
          <w:highlight w:val="none"/>
          <w:lang w:val="en-US" w:eastAsia="zh-CN" w:bidi="ar-SA"/>
        </w:rPr>
        <w:t>。后续针对其他</w:t>
      </w:r>
      <w:r>
        <w:rPr>
          <w:rFonts w:hint="eastAsia" w:cs="Times New Roman"/>
          <w:color w:val="auto"/>
          <w:kern w:val="2"/>
          <w:sz w:val="24"/>
          <w:szCs w:val="22"/>
          <w:highlight w:val="none"/>
          <w:lang w:val="en-US" w:eastAsia="zh-CN" w:bidi="ar-SA"/>
        </w:rPr>
        <w:t>批次</w:t>
      </w:r>
      <w:r>
        <w:rPr>
          <w:rFonts w:hint="default" w:ascii="Times New Roman" w:hAnsi="Times New Roman" w:cs="Times New Roman"/>
          <w:color w:val="auto"/>
          <w:kern w:val="2"/>
          <w:sz w:val="24"/>
          <w:szCs w:val="22"/>
          <w:highlight w:val="none"/>
          <w:lang w:val="en-US" w:eastAsia="zh-CN" w:bidi="ar-SA"/>
        </w:rPr>
        <w:t>临时用地进行分批</w:t>
      </w:r>
      <w:r>
        <w:rPr>
          <w:rFonts w:hint="eastAsia" w:cs="Times New Roman"/>
          <w:color w:val="auto"/>
          <w:kern w:val="2"/>
          <w:sz w:val="24"/>
          <w:szCs w:val="22"/>
          <w:highlight w:val="none"/>
          <w:lang w:val="en-US" w:eastAsia="zh-CN" w:bidi="ar-SA"/>
        </w:rPr>
        <w:t>编制土地复垦方案，并按照各批次临时用地进行</w:t>
      </w:r>
      <w:r>
        <w:rPr>
          <w:rFonts w:hint="default" w:ascii="Times New Roman" w:hAnsi="Times New Roman" w:cs="Times New Roman"/>
          <w:color w:val="auto"/>
          <w:kern w:val="2"/>
          <w:sz w:val="24"/>
          <w:szCs w:val="22"/>
          <w:highlight w:val="none"/>
          <w:lang w:val="en-US" w:eastAsia="zh-CN" w:bidi="ar-SA"/>
        </w:rPr>
        <w:t>报批。</w:t>
      </w:r>
    </w:p>
    <w:p w14:paraId="35759DA9">
      <w:pPr>
        <w:tabs>
          <w:tab w:val="left" w:pos="271"/>
        </w:tabs>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为了加强土地复垦工作，及时对损毁土地复垦利用和恢复建设区生态环境，珍惜和合理利用每一寸土地。实现土地资源可持续利用，促进区域经济、社会和环境的和谐发展。贯彻落实云南省国土资源厅转发的国土资源部等七部（委）《关于加强生产建设项目土地复垦管理工作的通知》(国土资发</w:t>
      </w:r>
      <w:r>
        <w:rPr>
          <w:rFonts w:hint="eastAsia" w:cs="Times New Roman"/>
          <w:color w:val="auto"/>
          <w:highlight w:val="none"/>
          <w:lang w:eastAsia="zh-CN"/>
        </w:rPr>
        <w:t>〔</w:t>
      </w:r>
      <w:r>
        <w:rPr>
          <w:rFonts w:hint="default" w:ascii="Times New Roman" w:hAnsi="Times New Roman" w:cs="Times New Roman"/>
          <w:color w:val="auto"/>
          <w:highlight w:val="none"/>
        </w:rPr>
        <w:t>2006</w:t>
      </w:r>
      <w:r>
        <w:rPr>
          <w:rFonts w:hint="eastAsia" w:cs="Times New Roman"/>
          <w:color w:val="auto"/>
          <w:highlight w:val="none"/>
          <w:lang w:eastAsia="zh-CN"/>
        </w:rPr>
        <w:t>〕</w:t>
      </w:r>
      <w:r>
        <w:rPr>
          <w:rFonts w:hint="default" w:ascii="Times New Roman" w:hAnsi="Times New Roman" w:cs="Times New Roman"/>
          <w:color w:val="auto"/>
          <w:highlight w:val="none"/>
        </w:rPr>
        <w:t>225号）文件精神，认真履行《土地管理法》及《土地复垦条例》等相关法律法规，中铁十八局集团有限公司渝昆高铁引入昆明枢纽工程项目经理部委</w:t>
      </w:r>
      <w:r>
        <w:rPr>
          <w:rFonts w:hint="default" w:ascii="Times New Roman" w:hAnsi="Times New Roman" w:cs="Times New Roman"/>
          <w:color w:val="auto"/>
          <w:szCs w:val="24"/>
          <w:highlight w:val="none"/>
        </w:rPr>
        <w:t>托云南坤舆测绘科技有限公司编制土地复垦方案。接受委托后，我单位对</w:t>
      </w:r>
      <w:r>
        <w:rPr>
          <w:rFonts w:hint="default" w:ascii="Times New Roman" w:hAnsi="Times New Roman" w:cs="Times New Roman"/>
          <w:color w:val="auto"/>
          <w:highlight w:val="none"/>
        </w:rPr>
        <w:t>新建渝昆高铁工程昆明空港段中铁十八局附属配套设施第二批临时用地</w:t>
      </w:r>
      <w:r>
        <w:rPr>
          <w:rFonts w:hint="default" w:ascii="Times New Roman" w:hAnsi="Times New Roman" w:cs="Times New Roman"/>
          <w:color w:val="auto"/>
          <w:szCs w:val="24"/>
          <w:highlight w:val="none"/>
        </w:rPr>
        <w:t>区及周围的自然环境概况、社会经济现状进行了实地调查，结合上述文件及当地实际情况，编制了</w:t>
      </w:r>
      <w:r>
        <w:rPr>
          <w:rFonts w:hint="default" w:ascii="Times New Roman" w:hAnsi="Times New Roman" w:cs="Times New Roman"/>
          <w:color w:val="auto"/>
          <w:highlight w:val="none"/>
        </w:rPr>
        <w:t>《新建渝昆高铁工程昆明空港段中铁十八局附属配套设施第二批临时用地土地复垦方案》。</w:t>
      </w:r>
    </w:p>
    <w:p w14:paraId="56F3FC92">
      <w:pPr>
        <w:pStyle w:val="8"/>
        <w:numPr>
          <w:ilvl w:val="0"/>
          <w:numId w:val="1"/>
        </w:numPr>
        <w:jc w:val="left"/>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编制目的</w:t>
      </w:r>
    </w:p>
    <w:p w14:paraId="0A305FE7">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lang w:val="zh-CN"/>
        </w:rPr>
        <w:t>编制《新建渝昆高铁工程昆明空港段中铁十八局附属配套设施第二批临时用地土地复垦方案》的目的在于贯彻落实</w:t>
      </w:r>
      <w:r>
        <w:rPr>
          <w:rFonts w:hint="default" w:ascii="Times New Roman" w:hAnsi="Times New Roman" w:cs="Times New Roman"/>
          <w:color w:val="auto"/>
          <w:highlight w:val="none"/>
        </w:rPr>
        <w:t>《关于加强生产建设项目土地复垦管理工作的通知》</w:t>
      </w:r>
      <w:r>
        <w:rPr>
          <w:rFonts w:hint="default" w:ascii="Times New Roman" w:hAnsi="Times New Roman" w:cs="Times New Roman"/>
          <w:color w:val="auto"/>
          <w:spacing w:val="4"/>
          <w:highlight w:val="none"/>
          <w:lang w:val="zh-CN"/>
        </w:rPr>
        <w:t>(国土资发</w:t>
      </w:r>
      <w:r>
        <w:rPr>
          <w:rFonts w:hint="eastAsia" w:cs="Times New Roman"/>
          <w:color w:val="auto"/>
          <w:spacing w:val="4"/>
          <w:highlight w:val="none"/>
          <w:lang w:val="zh-CN"/>
        </w:rPr>
        <w:t>〔</w:t>
      </w:r>
      <w:r>
        <w:rPr>
          <w:rFonts w:hint="default" w:ascii="Times New Roman" w:hAnsi="Times New Roman" w:cs="Times New Roman"/>
          <w:color w:val="auto"/>
          <w:spacing w:val="4"/>
          <w:highlight w:val="none"/>
          <w:lang w:val="zh-CN"/>
        </w:rPr>
        <w:t>2006</w:t>
      </w:r>
      <w:r>
        <w:rPr>
          <w:rFonts w:hint="eastAsia" w:cs="Times New Roman"/>
          <w:color w:val="auto"/>
          <w:spacing w:val="4"/>
          <w:highlight w:val="none"/>
          <w:lang w:val="zh-CN"/>
        </w:rPr>
        <w:t>〕</w:t>
      </w:r>
      <w:r>
        <w:rPr>
          <w:rFonts w:hint="default" w:ascii="Times New Roman" w:hAnsi="Times New Roman" w:cs="Times New Roman"/>
          <w:color w:val="auto"/>
          <w:spacing w:val="4"/>
          <w:highlight w:val="none"/>
          <w:lang w:val="zh-CN"/>
        </w:rPr>
        <w:t>225号）文件精神，认真履行《</w:t>
      </w:r>
      <w:r>
        <w:rPr>
          <w:rFonts w:hint="eastAsia" w:cs="Times New Roman"/>
          <w:color w:val="auto"/>
          <w:spacing w:val="4"/>
          <w:highlight w:val="none"/>
          <w:lang w:val="zh-CN"/>
        </w:rPr>
        <w:t>土地管理法实施条例</w:t>
      </w:r>
      <w:r>
        <w:rPr>
          <w:rFonts w:hint="default" w:ascii="Times New Roman" w:hAnsi="Times New Roman" w:cs="Times New Roman"/>
          <w:color w:val="auto"/>
          <w:spacing w:val="4"/>
          <w:highlight w:val="none"/>
          <w:lang w:val="zh-CN"/>
        </w:rPr>
        <w:t>》及《土地复垦条例</w:t>
      </w:r>
      <w:r>
        <w:rPr>
          <w:rFonts w:hint="eastAsia" w:cs="Times New Roman"/>
          <w:color w:val="auto"/>
          <w:spacing w:val="4"/>
          <w:highlight w:val="none"/>
          <w:lang w:val="zh-CN"/>
        </w:rPr>
        <w:t>实施办法</w:t>
      </w:r>
      <w:r>
        <w:rPr>
          <w:rFonts w:hint="default" w:ascii="Times New Roman" w:hAnsi="Times New Roman" w:cs="Times New Roman"/>
          <w:color w:val="auto"/>
          <w:spacing w:val="4"/>
          <w:highlight w:val="none"/>
          <w:lang w:val="zh-CN"/>
        </w:rPr>
        <w:t>》等相关法律法规。通过对新建渝昆高铁工程昆明空港段中铁十八局附属配套设施第二批临时用地所涉及的土地利用现状的调查论证，对其“在建设过程中，因挖损、压占、占用、污染等造成损毁的土地，采取整治措施，使其恢复到可供利用状态”；按照“谁损毁、谁复垦”的原则，制订建设单位土地复垦的目标、任务、措施和计划，保证珍惜和合理利用每一寸土地，改善生态环境，实现土地资源可持续利用，促进经济、社会和环境的和谐发展，为指导和规范工程建设及土地复垦等后续工作提供依据。</w:t>
      </w:r>
    </w:p>
    <w:p w14:paraId="79CC414C">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lang w:val="zh-CN"/>
        </w:rPr>
        <w:t>根据建设项目所在区域的自然环境与社会发展情况，全面考虑建设过程对土地资源的影响，使建设活动符合县乡两级土地利用总体规划的要求；针对建设活动过程中可能产生的对土地的损毁做出预测，提出相应的治理措施，保护土地并合理利用土地资源，保障当地社会经济持续发展。各项工作任务和要求如下：</w:t>
      </w:r>
    </w:p>
    <w:p w14:paraId="0862DD6C">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1）</w:t>
      </w:r>
      <w:r>
        <w:rPr>
          <w:rFonts w:hint="default" w:ascii="Times New Roman" w:hAnsi="Times New Roman" w:cs="Times New Roman"/>
          <w:color w:val="auto"/>
          <w:spacing w:val="4"/>
          <w:highlight w:val="none"/>
          <w:lang w:val="zh-CN"/>
        </w:rPr>
        <w:t>根据现场踏勘，对新建渝昆高铁工程昆明空港段中铁十八局附属配套设施第二批临时用地建设损毁土地的现状、周边自然环境、植被、土壤等各项要素进行调查，对各类土地的损毁范围和损毁程度做出预测，量算并统计各类被损毁土地的面积。</w:t>
      </w:r>
    </w:p>
    <w:p w14:paraId="694D24A1">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2）</w:t>
      </w:r>
      <w:r>
        <w:rPr>
          <w:rFonts w:hint="default" w:ascii="Times New Roman" w:hAnsi="Times New Roman" w:cs="Times New Roman"/>
          <w:color w:val="auto"/>
          <w:spacing w:val="4"/>
          <w:highlight w:val="none"/>
          <w:lang w:val="zh-CN"/>
        </w:rPr>
        <w:t>根据调查和预测结果，统计分析明确新建渝昆高铁工程昆明空港段中铁十八局附属配套设施第二批临时用地的复垦责任范围，并根据各类土地的损毁时序、损毁性质和损毁程度，规划其复垦时间和复垦后的利用类型。</w:t>
      </w:r>
    </w:p>
    <w:p w14:paraId="0F747AB0">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3）根据土地复垦的技术规范及相关要求</w:t>
      </w:r>
      <w:r>
        <w:rPr>
          <w:rFonts w:hint="default" w:ascii="Times New Roman" w:hAnsi="Times New Roman" w:cs="Times New Roman"/>
          <w:color w:val="auto"/>
          <w:spacing w:val="4"/>
          <w:highlight w:val="none"/>
          <w:lang w:val="zh-CN"/>
        </w:rPr>
        <w:t>、复垦工艺，明确要求达到的技术标准和技术参数，对损毁的土地做出复垦规划方案。计算复垦工程量，提出复垦工程的投资估算。</w:t>
      </w:r>
    </w:p>
    <w:p w14:paraId="314587F8">
      <w:pPr>
        <w:autoSpaceDE w:val="0"/>
        <w:autoSpaceDN w:val="0"/>
        <w:adjustRightInd w:val="0"/>
        <w:ind w:firstLine="496"/>
        <w:rPr>
          <w:rFonts w:hint="default" w:ascii="Times New Roman" w:hAnsi="Times New Roman" w:cs="Times New Roman"/>
          <w:color w:val="auto"/>
          <w:spacing w:val="4"/>
          <w:highlight w:val="none"/>
        </w:rPr>
      </w:pPr>
      <w:r>
        <w:rPr>
          <w:rFonts w:hint="default" w:ascii="Times New Roman" w:hAnsi="Times New Roman" w:cs="Times New Roman"/>
          <w:color w:val="auto"/>
          <w:spacing w:val="4"/>
          <w:highlight w:val="none"/>
        </w:rPr>
        <w:t>4）根据相关政策要求、技术规范、复垦规划方向，计算土地复垦的工程量，对土地复垦投资进行估算</w:t>
      </w:r>
      <w:r>
        <w:rPr>
          <w:rFonts w:hint="default" w:ascii="Times New Roman" w:hAnsi="Times New Roman" w:cs="Times New Roman"/>
          <w:color w:val="auto"/>
          <w:spacing w:val="4"/>
          <w:highlight w:val="none"/>
          <w:lang w:val="zh-CN"/>
        </w:rPr>
        <w:t>以及土地复垦工作计划的安排</w:t>
      </w:r>
      <w:r>
        <w:rPr>
          <w:rFonts w:hint="default" w:ascii="Times New Roman" w:hAnsi="Times New Roman" w:cs="Times New Roman"/>
          <w:color w:val="auto"/>
          <w:spacing w:val="4"/>
          <w:highlight w:val="none"/>
        </w:rPr>
        <w:t>。</w:t>
      </w:r>
    </w:p>
    <w:p w14:paraId="3AD09E68">
      <w:pPr>
        <w:pStyle w:val="9"/>
        <w:jc w:val="center"/>
        <w:rPr>
          <w:rFonts w:hint="default" w:ascii="Times New Roman" w:hAnsi="Times New Roman" w:eastAsia="黑体" w:cs="Times New Roman"/>
          <w:b w:val="0"/>
          <w:color w:val="auto"/>
          <w:sz w:val="32"/>
          <w:szCs w:val="32"/>
          <w:highlight w:val="none"/>
          <w:lang w:val="zh-CN" w:eastAsia="zh-CN"/>
        </w:rPr>
        <w:sectPr>
          <w:pgSz w:w="11906" w:h="16838"/>
          <w:pgMar w:top="1440" w:right="1800" w:bottom="1440" w:left="1800" w:header="851" w:footer="992" w:gutter="0"/>
          <w:pgNumType w:fmt="decimal"/>
          <w:cols w:space="425" w:num="1"/>
          <w:docGrid w:type="lines" w:linePitch="312" w:charSpace="0"/>
        </w:sectPr>
      </w:pPr>
    </w:p>
    <w:p w14:paraId="594C95F8">
      <w:pPr>
        <w:pStyle w:val="9"/>
        <w:jc w:val="center"/>
        <w:rPr>
          <w:rFonts w:hint="default" w:ascii="Times New Roman" w:hAnsi="Times New Roman" w:eastAsia="黑体" w:cs="Times New Roman"/>
          <w:b w:val="0"/>
          <w:color w:val="auto"/>
          <w:sz w:val="32"/>
          <w:szCs w:val="32"/>
          <w:highlight w:val="none"/>
          <w:lang w:val="zh-CN" w:eastAsia="zh-CN"/>
        </w:rPr>
      </w:pPr>
      <w:r>
        <w:rPr>
          <w:rFonts w:hint="default" w:ascii="Times New Roman" w:hAnsi="Times New Roman" w:eastAsia="黑体" w:cs="Times New Roman"/>
          <w:b w:val="0"/>
          <w:color w:val="auto"/>
          <w:sz w:val="32"/>
          <w:szCs w:val="32"/>
          <w:highlight w:val="none"/>
          <w:lang w:val="zh-CN" w:eastAsia="zh-CN"/>
        </w:rPr>
        <w:t>第二部分 土地复垦方案报告表</w:t>
      </w:r>
    </w:p>
    <w:tbl>
      <w:tblPr>
        <w:tblStyle w:val="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752"/>
        <w:gridCol w:w="1383"/>
        <w:gridCol w:w="847"/>
        <w:gridCol w:w="1326"/>
        <w:gridCol w:w="464"/>
        <w:gridCol w:w="257"/>
        <w:gridCol w:w="1854"/>
      </w:tblGrid>
      <w:tr w14:paraId="01CC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695" w:type="dxa"/>
            <w:vMerge w:val="restart"/>
            <w:textDirection w:val="tbLrV"/>
            <w:vAlign w:val="center"/>
          </w:tcPr>
          <w:p w14:paraId="0E8E821D">
            <w:pPr>
              <w:ind w:firstLine="0" w:firstLineChars="0"/>
              <w:jc w:val="center"/>
              <w:rPr>
                <w:b/>
                <w:color w:val="auto"/>
                <w:szCs w:val="24"/>
              </w:rPr>
            </w:pP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项</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目</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概</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况</w:t>
            </w:r>
          </w:p>
        </w:tc>
        <w:tc>
          <w:tcPr>
            <w:tcW w:w="1752" w:type="dxa"/>
            <w:vAlign w:val="center"/>
          </w:tcPr>
          <w:p w14:paraId="28047B12">
            <w:pPr>
              <w:ind w:firstLine="0" w:firstLineChars="0"/>
              <w:jc w:val="center"/>
              <w:rPr>
                <w:rFonts w:hAnsi="宋体"/>
                <w:color w:val="auto"/>
                <w:sz w:val="21"/>
                <w:szCs w:val="21"/>
              </w:rPr>
            </w:pPr>
            <w:r>
              <w:rPr>
                <w:rFonts w:hAnsi="宋体"/>
                <w:color w:val="auto"/>
                <w:sz w:val="21"/>
                <w:szCs w:val="21"/>
              </w:rPr>
              <w:t>项目名称</w:t>
            </w:r>
          </w:p>
        </w:tc>
        <w:tc>
          <w:tcPr>
            <w:tcW w:w="6131" w:type="dxa"/>
            <w:gridSpan w:val="6"/>
            <w:vAlign w:val="center"/>
          </w:tcPr>
          <w:p w14:paraId="1AB2EA44">
            <w:pPr>
              <w:spacing w:line="240" w:lineRule="auto"/>
              <w:ind w:firstLine="0" w:firstLineChars="0"/>
              <w:jc w:val="center"/>
              <w:rPr>
                <w:rFonts w:hint="eastAsia" w:hAnsi="宋体"/>
                <w:color w:val="auto"/>
                <w:sz w:val="21"/>
                <w:szCs w:val="21"/>
              </w:rPr>
            </w:pPr>
            <w:r>
              <w:rPr>
                <w:rFonts w:hint="eastAsia" w:hAnsi="宋体"/>
                <w:color w:val="auto"/>
                <w:sz w:val="21"/>
                <w:szCs w:val="21"/>
              </w:rPr>
              <w:t>新建渝昆高铁工程昆明空港段中铁十八局附属配套设施</w:t>
            </w:r>
          </w:p>
          <w:p w14:paraId="398F8C35">
            <w:pPr>
              <w:spacing w:line="240" w:lineRule="auto"/>
              <w:ind w:firstLine="0" w:firstLineChars="0"/>
              <w:jc w:val="center"/>
              <w:rPr>
                <w:rFonts w:hAnsi="宋体"/>
                <w:color w:val="auto"/>
                <w:sz w:val="21"/>
                <w:szCs w:val="21"/>
              </w:rPr>
            </w:pPr>
            <w:r>
              <w:rPr>
                <w:rFonts w:hint="eastAsia" w:hAnsi="宋体"/>
                <w:color w:val="auto"/>
                <w:sz w:val="21"/>
                <w:szCs w:val="21"/>
              </w:rPr>
              <w:t>第二批临时用地</w:t>
            </w:r>
          </w:p>
        </w:tc>
      </w:tr>
      <w:tr w14:paraId="0049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exact"/>
          <w:jc w:val="center"/>
        </w:trPr>
        <w:tc>
          <w:tcPr>
            <w:tcW w:w="695" w:type="dxa"/>
            <w:vMerge w:val="continue"/>
            <w:vAlign w:val="center"/>
          </w:tcPr>
          <w:p w14:paraId="12CB2A94">
            <w:pPr>
              <w:ind w:firstLine="0" w:firstLineChars="0"/>
              <w:jc w:val="center"/>
              <w:rPr>
                <w:b/>
                <w:color w:val="auto"/>
                <w:szCs w:val="24"/>
              </w:rPr>
            </w:pPr>
          </w:p>
        </w:tc>
        <w:tc>
          <w:tcPr>
            <w:tcW w:w="1752" w:type="dxa"/>
            <w:vAlign w:val="center"/>
          </w:tcPr>
          <w:p w14:paraId="2005DD60">
            <w:pPr>
              <w:ind w:firstLine="0" w:firstLineChars="0"/>
              <w:jc w:val="center"/>
              <w:rPr>
                <w:rFonts w:hAnsi="宋体"/>
                <w:color w:val="auto"/>
                <w:sz w:val="21"/>
                <w:szCs w:val="21"/>
              </w:rPr>
            </w:pPr>
            <w:r>
              <w:rPr>
                <w:rFonts w:hAnsi="宋体"/>
                <w:color w:val="auto"/>
                <w:sz w:val="21"/>
                <w:szCs w:val="21"/>
              </w:rPr>
              <w:t>单位名称</w:t>
            </w:r>
          </w:p>
        </w:tc>
        <w:tc>
          <w:tcPr>
            <w:tcW w:w="6131" w:type="dxa"/>
            <w:gridSpan w:val="6"/>
            <w:vAlign w:val="center"/>
          </w:tcPr>
          <w:p w14:paraId="7865B135">
            <w:pPr>
              <w:spacing w:line="240" w:lineRule="auto"/>
              <w:ind w:firstLine="0" w:firstLineChars="0"/>
              <w:jc w:val="center"/>
              <w:rPr>
                <w:rFonts w:hint="default" w:hAnsi="宋体"/>
                <w:color w:val="auto"/>
                <w:sz w:val="21"/>
                <w:szCs w:val="21"/>
              </w:rPr>
            </w:pPr>
            <w:r>
              <w:rPr>
                <w:rFonts w:hint="default" w:hAnsi="宋体"/>
                <w:color w:val="auto"/>
                <w:sz w:val="21"/>
                <w:szCs w:val="21"/>
              </w:rPr>
              <w:t>中铁十八局集团有限公司渝昆高铁引入昆明枢纽工程</w:t>
            </w:r>
          </w:p>
          <w:p w14:paraId="457FE970">
            <w:pPr>
              <w:spacing w:line="240" w:lineRule="auto"/>
              <w:ind w:firstLine="0" w:firstLineChars="0"/>
              <w:jc w:val="center"/>
              <w:rPr>
                <w:rFonts w:hAnsi="宋体"/>
                <w:color w:val="auto"/>
                <w:sz w:val="21"/>
                <w:szCs w:val="21"/>
              </w:rPr>
            </w:pPr>
            <w:r>
              <w:rPr>
                <w:rFonts w:hint="default" w:hAnsi="宋体"/>
                <w:color w:val="auto"/>
                <w:sz w:val="21"/>
                <w:szCs w:val="21"/>
              </w:rPr>
              <w:t>项目经理部</w:t>
            </w:r>
          </w:p>
        </w:tc>
      </w:tr>
      <w:tr w14:paraId="1517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continue"/>
            <w:vAlign w:val="center"/>
          </w:tcPr>
          <w:p w14:paraId="6E9F9986">
            <w:pPr>
              <w:ind w:firstLine="0" w:firstLineChars="0"/>
              <w:jc w:val="center"/>
              <w:rPr>
                <w:b/>
                <w:color w:val="auto"/>
                <w:szCs w:val="24"/>
              </w:rPr>
            </w:pPr>
          </w:p>
        </w:tc>
        <w:tc>
          <w:tcPr>
            <w:tcW w:w="1752" w:type="dxa"/>
            <w:vAlign w:val="center"/>
          </w:tcPr>
          <w:p w14:paraId="5B1E7799">
            <w:pPr>
              <w:ind w:firstLine="0" w:firstLineChars="0"/>
              <w:jc w:val="center"/>
              <w:rPr>
                <w:rFonts w:hAnsi="宋体"/>
                <w:color w:val="auto"/>
                <w:sz w:val="21"/>
                <w:szCs w:val="21"/>
              </w:rPr>
            </w:pPr>
            <w:r>
              <w:rPr>
                <w:rFonts w:hAnsi="宋体"/>
                <w:color w:val="auto"/>
                <w:sz w:val="21"/>
                <w:szCs w:val="21"/>
              </w:rPr>
              <w:t>单位地址</w:t>
            </w:r>
          </w:p>
        </w:tc>
        <w:tc>
          <w:tcPr>
            <w:tcW w:w="6131" w:type="dxa"/>
            <w:gridSpan w:val="6"/>
            <w:vAlign w:val="center"/>
          </w:tcPr>
          <w:p w14:paraId="75E89D29">
            <w:pPr>
              <w:spacing w:line="240" w:lineRule="auto"/>
              <w:ind w:firstLine="0" w:firstLineChars="0"/>
              <w:jc w:val="center"/>
              <w:rPr>
                <w:rFonts w:hAnsi="宋体"/>
                <w:color w:val="auto"/>
                <w:sz w:val="21"/>
                <w:szCs w:val="21"/>
              </w:rPr>
            </w:pPr>
            <w:r>
              <w:rPr>
                <w:rFonts w:hint="default" w:hAnsi="宋体"/>
                <w:color w:val="auto"/>
                <w:sz w:val="21"/>
                <w:szCs w:val="21"/>
                <w:lang w:val="en-US" w:eastAsia="zh-CN"/>
              </w:rPr>
              <w:t>昆明市官渡区长水街道</w:t>
            </w:r>
          </w:p>
        </w:tc>
      </w:tr>
      <w:tr w14:paraId="25BB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continue"/>
            <w:vAlign w:val="center"/>
          </w:tcPr>
          <w:p w14:paraId="0ECCA20B">
            <w:pPr>
              <w:ind w:firstLine="0" w:firstLineChars="0"/>
              <w:jc w:val="center"/>
              <w:rPr>
                <w:b/>
                <w:color w:val="auto"/>
                <w:szCs w:val="24"/>
              </w:rPr>
            </w:pPr>
          </w:p>
        </w:tc>
        <w:tc>
          <w:tcPr>
            <w:tcW w:w="1752" w:type="dxa"/>
            <w:vAlign w:val="center"/>
          </w:tcPr>
          <w:p w14:paraId="2FB85B97">
            <w:pPr>
              <w:ind w:firstLine="0" w:firstLineChars="0"/>
              <w:jc w:val="center"/>
              <w:rPr>
                <w:rFonts w:hAnsi="宋体"/>
                <w:color w:val="auto"/>
                <w:sz w:val="21"/>
                <w:szCs w:val="21"/>
              </w:rPr>
            </w:pPr>
            <w:r>
              <w:rPr>
                <w:rFonts w:hAnsi="宋体"/>
                <w:color w:val="auto"/>
                <w:sz w:val="21"/>
                <w:szCs w:val="21"/>
              </w:rPr>
              <w:t>法人代表</w:t>
            </w:r>
          </w:p>
        </w:tc>
        <w:tc>
          <w:tcPr>
            <w:tcW w:w="2230" w:type="dxa"/>
            <w:gridSpan w:val="2"/>
            <w:vAlign w:val="center"/>
          </w:tcPr>
          <w:p w14:paraId="4B4B6C49">
            <w:pPr>
              <w:spacing w:line="240" w:lineRule="auto"/>
              <w:ind w:firstLine="0" w:firstLineChars="0"/>
              <w:jc w:val="center"/>
              <w:rPr>
                <w:rFonts w:hAnsi="宋体"/>
                <w:color w:val="auto"/>
                <w:sz w:val="21"/>
                <w:szCs w:val="21"/>
              </w:rPr>
            </w:pPr>
            <w:r>
              <w:rPr>
                <w:rFonts w:cs="Times New Roman"/>
                <w:sz w:val="21"/>
                <w:szCs w:val="21"/>
              </w:rPr>
              <w:t>***</w:t>
            </w:r>
          </w:p>
        </w:tc>
        <w:tc>
          <w:tcPr>
            <w:tcW w:w="2047" w:type="dxa"/>
            <w:gridSpan w:val="3"/>
            <w:vAlign w:val="center"/>
          </w:tcPr>
          <w:p w14:paraId="723D74BD">
            <w:pPr>
              <w:spacing w:line="240" w:lineRule="auto"/>
              <w:ind w:firstLine="0" w:firstLineChars="0"/>
              <w:jc w:val="center"/>
              <w:rPr>
                <w:rFonts w:hAnsi="宋体"/>
                <w:color w:val="auto"/>
                <w:sz w:val="21"/>
                <w:szCs w:val="21"/>
              </w:rPr>
            </w:pPr>
            <w:r>
              <w:rPr>
                <w:rFonts w:hAnsi="宋体"/>
                <w:color w:val="auto"/>
                <w:sz w:val="21"/>
                <w:szCs w:val="21"/>
              </w:rPr>
              <w:t>联系电话</w:t>
            </w:r>
          </w:p>
        </w:tc>
        <w:tc>
          <w:tcPr>
            <w:tcW w:w="1854" w:type="dxa"/>
            <w:vAlign w:val="center"/>
          </w:tcPr>
          <w:p w14:paraId="3D14617D">
            <w:pPr>
              <w:spacing w:line="240" w:lineRule="auto"/>
              <w:ind w:firstLine="0" w:firstLineChars="0"/>
              <w:jc w:val="center"/>
              <w:rPr>
                <w:rFonts w:hAnsi="宋体"/>
                <w:color w:val="auto"/>
                <w:sz w:val="21"/>
                <w:szCs w:val="21"/>
              </w:rPr>
            </w:pPr>
            <w:r>
              <w:rPr>
                <w:rFonts w:cs="Times New Roman"/>
                <w:sz w:val="21"/>
                <w:szCs w:val="21"/>
              </w:rPr>
              <w:t>***</w:t>
            </w:r>
          </w:p>
        </w:tc>
      </w:tr>
      <w:tr w14:paraId="55AD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695" w:type="dxa"/>
            <w:vMerge w:val="continue"/>
            <w:vAlign w:val="center"/>
          </w:tcPr>
          <w:p w14:paraId="0122528B">
            <w:pPr>
              <w:ind w:firstLine="0" w:firstLineChars="0"/>
              <w:jc w:val="center"/>
              <w:rPr>
                <w:b/>
                <w:color w:val="auto"/>
                <w:szCs w:val="24"/>
              </w:rPr>
            </w:pPr>
          </w:p>
        </w:tc>
        <w:tc>
          <w:tcPr>
            <w:tcW w:w="1752" w:type="dxa"/>
            <w:vAlign w:val="center"/>
          </w:tcPr>
          <w:p w14:paraId="39655CB2">
            <w:pPr>
              <w:ind w:firstLine="0" w:firstLineChars="0"/>
              <w:jc w:val="center"/>
              <w:rPr>
                <w:rFonts w:hAnsi="宋体"/>
                <w:color w:val="auto"/>
                <w:sz w:val="21"/>
                <w:szCs w:val="21"/>
              </w:rPr>
            </w:pPr>
            <w:r>
              <w:rPr>
                <w:rFonts w:hAnsi="宋体"/>
                <w:color w:val="auto"/>
                <w:sz w:val="21"/>
                <w:szCs w:val="21"/>
              </w:rPr>
              <w:t>企业性质</w:t>
            </w:r>
          </w:p>
        </w:tc>
        <w:tc>
          <w:tcPr>
            <w:tcW w:w="2230" w:type="dxa"/>
            <w:gridSpan w:val="2"/>
            <w:vAlign w:val="center"/>
          </w:tcPr>
          <w:p w14:paraId="4F12FC8D">
            <w:pPr>
              <w:spacing w:line="240" w:lineRule="auto"/>
              <w:ind w:firstLine="0" w:firstLineChars="0"/>
              <w:jc w:val="center"/>
              <w:rPr>
                <w:rFonts w:hAnsi="宋体"/>
                <w:color w:val="auto"/>
                <w:sz w:val="21"/>
                <w:szCs w:val="21"/>
              </w:rPr>
            </w:pPr>
            <w:r>
              <w:rPr>
                <w:rFonts w:hAnsi="宋体"/>
                <w:color w:val="auto"/>
                <w:sz w:val="21"/>
                <w:szCs w:val="21"/>
              </w:rPr>
              <w:t>有限责任公司</w:t>
            </w:r>
          </w:p>
        </w:tc>
        <w:tc>
          <w:tcPr>
            <w:tcW w:w="2047" w:type="dxa"/>
            <w:gridSpan w:val="3"/>
            <w:vAlign w:val="center"/>
          </w:tcPr>
          <w:p w14:paraId="2828F560">
            <w:pPr>
              <w:spacing w:line="240" w:lineRule="auto"/>
              <w:ind w:firstLine="0" w:firstLineChars="0"/>
              <w:jc w:val="center"/>
              <w:rPr>
                <w:rFonts w:hAnsi="宋体"/>
                <w:color w:val="auto"/>
                <w:sz w:val="21"/>
                <w:szCs w:val="21"/>
              </w:rPr>
            </w:pPr>
            <w:r>
              <w:rPr>
                <w:rFonts w:hAnsi="宋体"/>
                <w:color w:val="auto"/>
                <w:sz w:val="21"/>
                <w:szCs w:val="21"/>
              </w:rPr>
              <w:t>项目性质</w:t>
            </w:r>
          </w:p>
        </w:tc>
        <w:tc>
          <w:tcPr>
            <w:tcW w:w="1854" w:type="dxa"/>
            <w:vAlign w:val="center"/>
          </w:tcPr>
          <w:p w14:paraId="75ABD551">
            <w:pPr>
              <w:spacing w:line="240" w:lineRule="auto"/>
              <w:ind w:firstLine="0" w:firstLineChars="0"/>
              <w:jc w:val="center"/>
              <w:rPr>
                <w:rFonts w:hAnsi="宋体"/>
                <w:color w:val="auto"/>
                <w:sz w:val="21"/>
                <w:szCs w:val="21"/>
              </w:rPr>
            </w:pPr>
            <w:r>
              <w:rPr>
                <w:rFonts w:hAnsi="宋体"/>
                <w:color w:val="auto"/>
                <w:sz w:val="21"/>
                <w:szCs w:val="21"/>
              </w:rPr>
              <w:t>新建建设项目</w:t>
            </w:r>
          </w:p>
        </w:tc>
      </w:tr>
      <w:tr w14:paraId="0FB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695" w:type="dxa"/>
            <w:vMerge w:val="continue"/>
            <w:vAlign w:val="center"/>
          </w:tcPr>
          <w:p w14:paraId="034DC8A2">
            <w:pPr>
              <w:ind w:firstLine="0" w:firstLineChars="0"/>
              <w:jc w:val="center"/>
              <w:rPr>
                <w:b/>
                <w:color w:val="auto"/>
                <w:szCs w:val="24"/>
              </w:rPr>
            </w:pPr>
          </w:p>
        </w:tc>
        <w:tc>
          <w:tcPr>
            <w:tcW w:w="1752" w:type="dxa"/>
            <w:vAlign w:val="center"/>
          </w:tcPr>
          <w:p w14:paraId="2C547627">
            <w:pPr>
              <w:ind w:firstLine="0" w:firstLineChars="0"/>
              <w:jc w:val="center"/>
              <w:rPr>
                <w:rFonts w:hAnsi="宋体"/>
                <w:color w:val="auto"/>
                <w:sz w:val="21"/>
                <w:szCs w:val="21"/>
              </w:rPr>
            </w:pPr>
            <w:r>
              <w:rPr>
                <w:rFonts w:hAnsi="宋体"/>
                <w:color w:val="auto"/>
                <w:sz w:val="21"/>
                <w:szCs w:val="21"/>
              </w:rPr>
              <w:t>项目位置</w:t>
            </w:r>
          </w:p>
        </w:tc>
        <w:tc>
          <w:tcPr>
            <w:tcW w:w="6131" w:type="dxa"/>
            <w:gridSpan w:val="6"/>
            <w:vAlign w:val="center"/>
          </w:tcPr>
          <w:p w14:paraId="31D93E3A">
            <w:pPr>
              <w:spacing w:line="240" w:lineRule="auto"/>
              <w:ind w:firstLine="0" w:firstLineChars="0"/>
              <w:jc w:val="center"/>
              <w:rPr>
                <w:rFonts w:hAnsi="宋体"/>
                <w:color w:val="auto"/>
                <w:sz w:val="21"/>
                <w:szCs w:val="21"/>
              </w:rPr>
            </w:pPr>
            <w:r>
              <w:rPr>
                <w:rFonts w:hint="default" w:hAnsi="宋体"/>
                <w:color w:val="auto"/>
                <w:sz w:val="21"/>
                <w:szCs w:val="21"/>
                <w:lang w:val="en-US" w:eastAsia="zh-CN"/>
              </w:rPr>
              <w:t>昆明市官渡区长水街道</w:t>
            </w:r>
          </w:p>
        </w:tc>
      </w:tr>
      <w:tr w14:paraId="337B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695" w:type="dxa"/>
            <w:vMerge w:val="continue"/>
            <w:vAlign w:val="center"/>
          </w:tcPr>
          <w:p w14:paraId="2AC9E3D0">
            <w:pPr>
              <w:ind w:firstLine="0" w:firstLineChars="0"/>
              <w:jc w:val="center"/>
              <w:rPr>
                <w:b/>
                <w:color w:val="auto"/>
                <w:szCs w:val="24"/>
              </w:rPr>
            </w:pPr>
          </w:p>
        </w:tc>
        <w:tc>
          <w:tcPr>
            <w:tcW w:w="1752" w:type="dxa"/>
            <w:vAlign w:val="center"/>
          </w:tcPr>
          <w:p w14:paraId="05CFA92C">
            <w:pPr>
              <w:ind w:firstLine="0" w:firstLineChars="0"/>
              <w:jc w:val="center"/>
              <w:rPr>
                <w:rFonts w:hAnsi="宋体"/>
                <w:color w:val="auto"/>
                <w:sz w:val="21"/>
                <w:szCs w:val="21"/>
              </w:rPr>
            </w:pPr>
            <w:r>
              <w:rPr>
                <w:rFonts w:hAnsi="宋体"/>
                <w:color w:val="auto"/>
                <w:sz w:val="21"/>
                <w:szCs w:val="21"/>
              </w:rPr>
              <w:t>资源储量</w:t>
            </w:r>
          </w:p>
        </w:tc>
        <w:tc>
          <w:tcPr>
            <w:tcW w:w="2230" w:type="dxa"/>
            <w:gridSpan w:val="2"/>
            <w:vAlign w:val="center"/>
          </w:tcPr>
          <w:p w14:paraId="10872A48">
            <w:pPr>
              <w:spacing w:line="240" w:lineRule="auto"/>
              <w:ind w:firstLine="0" w:firstLineChars="0"/>
              <w:jc w:val="center"/>
              <w:rPr>
                <w:rFonts w:hAnsi="宋体"/>
                <w:color w:val="auto"/>
                <w:sz w:val="21"/>
                <w:szCs w:val="21"/>
              </w:rPr>
            </w:pPr>
            <w:r>
              <w:rPr>
                <w:rFonts w:hAnsi="宋体"/>
                <w:color w:val="auto"/>
                <w:sz w:val="21"/>
                <w:szCs w:val="21"/>
              </w:rPr>
              <w:t>-</w:t>
            </w:r>
          </w:p>
        </w:tc>
        <w:tc>
          <w:tcPr>
            <w:tcW w:w="2047" w:type="dxa"/>
            <w:gridSpan w:val="3"/>
            <w:vAlign w:val="center"/>
          </w:tcPr>
          <w:p w14:paraId="63E4E918">
            <w:pPr>
              <w:spacing w:line="240" w:lineRule="auto"/>
              <w:ind w:firstLine="0" w:firstLineChars="0"/>
              <w:jc w:val="center"/>
              <w:rPr>
                <w:rFonts w:hAnsi="宋体"/>
                <w:color w:val="auto"/>
                <w:sz w:val="21"/>
                <w:szCs w:val="21"/>
              </w:rPr>
            </w:pPr>
            <w:r>
              <w:rPr>
                <w:rFonts w:hAnsi="宋体"/>
                <w:color w:val="auto"/>
                <w:sz w:val="21"/>
                <w:szCs w:val="21"/>
              </w:rPr>
              <w:t>生产能力（或投资规模）</w:t>
            </w:r>
          </w:p>
        </w:tc>
        <w:tc>
          <w:tcPr>
            <w:tcW w:w="1854" w:type="dxa"/>
            <w:vAlign w:val="center"/>
          </w:tcPr>
          <w:p w14:paraId="7D9F2BFB">
            <w:pPr>
              <w:spacing w:line="240" w:lineRule="auto"/>
              <w:ind w:firstLine="0" w:firstLineChars="0"/>
              <w:jc w:val="center"/>
              <w:rPr>
                <w:rFonts w:hAnsi="宋体"/>
                <w:color w:val="auto"/>
                <w:sz w:val="21"/>
                <w:szCs w:val="21"/>
              </w:rPr>
            </w:pPr>
            <w:r>
              <w:rPr>
                <w:rFonts w:hAnsi="宋体"/>
                <w:color w:val="auto"/>
                <w:sz w:val="21"/>
                <w:szCs w:val="21"/>
              </w:rPr>
              <w:t>-</w:t>
            </w:r>
          </w:p>
        </w:tc>
      </w:tr>
      <w:tr w14:paraId="347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695" w:type="dxa"/>
            <w:vMerge w:val="continue"/>
            <w:vAlign w:val="center"/>
          </w:tcPr>
          <w:p w14:paraId="168A0A2B">
            <w:pPr>
              <w:ind w:firstLine="0" w:firstLineChars="0"/>
              <w:jc w:val="center"/>
              <w:rPr>
                <w:b/>
                <w:color w:val="auto"/>
                <w:szCs w:val="24"/>
              </w:rPr>
            </w:pPr>
          </w:p>
        </w:tc>
        <w:tc>
          <w:tcPr>
            <w:tcW w:w="1752" w:type="dxa"/>
            <w:vAlign w:val="center"/>
          </w:tcPr>
          <w:p w14:paraId="194EB774">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批复文号</w:t>
            </w:r>
          </w:p>
        </w:tc>
        <w:tc>
          <w:tcPr>
            <w:tcW w:w="2230" w:type="dxa"/>
            <w:gridSpan w:val="2"/>
            <w:vAlign w:val="center"/>
          </w:tcPr>
          <w:p w14:paraId="0D1628C4">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2111</w:t>
            </w:r>
            <w:r>
              <w:rPr>
                <w:rFonts w:hint="eastAsia" w:ascii="Times New Roman" w:hAnsi="Times New Roman" w:eastAsia="FangSong_GB2312" w:cs="Times New Roman"/>
                <w:sz w:val="21"/>
                <w:szCs w:val="21"/>
                <w:lang w:val="en-US" w:eastAsia="zh-CN"/>
              </w:rPr>
              <w:t>-</w:t>
            </w:r>
            <w:r>
              <w:rPr>
                <w:rFonts w:hint="eastAsia" w:ascii="Times New Roman" w:hAnsi="Times New Roman" w:eastAsia="FangSong_GB2312" w:cs="Times New Roman"/>
                <w:sz w:val="21"/>
                <w:szCs w:val="21"/>
              </w:rPr>
              <w:t>530091-89-01-683058</w:t>
            </w:r>
          </w:p>
        </w:tc>
        <w:tc>
          <w:tcPr>
            <w:tcW w:w="2047" w:type="dxa"/>
            <w:gridSpan w:val="3"/>
            <w:vAlign w:val="center"/>
          </w:tcPr>
          <w:p w14:paraId="099BD3F6">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项目区面积</w:t>
            </w:r>
          </w:p>
        </w:tc>
        <w:tc>
          <w:tcPr>
            <w:tcW w:w="1854" w:type="dxa"/>
            <w:vAlign w:val="center"/>
          </w:tcPr>
          <w:p w14:paraId="7A32D304">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lang w:val="en-US" w:eastAsia="zh-CN"/>
              </w:rPr>
              <w:t>6.3880 hm</w:t>
            </w:r>
            <w:r>
              <w:rPr>
                <w:rFonts w:hint="default" w:ascii="Times New Roman" w:hAnsi="Times New Roman" w:eastAsia="FangSong_GB2312" w:cs="Times New Roman"/>
                <w:sz w:val="21"/>
                <w:szCs w:val="21"/>
                <w:vertAlign w:val="superscript"/>
                <w:lang w:val="en-US" w:eastAsia="zh-CN"/>
              </w:rPr>
              <w:t>2</w:t>
            </w:r>
          </w:p>
        </w:tc>
      </w:tr>
      <w:tr w14:paraId="2032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695" w:type="dxa"/>
            <w:vMerge w:val="continue"/>
            <w:vAlign w:val="center"/>
          </w:tcPr>
          <w:p w14:paraId="7CE8FCB5">
            <w:pPr>
              <w:ind w:firstLine="0" w:firstLineChars="0"/>
              <w:jc w:val="center"/>
              <w:rPr>
                <w:b/>
                <w:color w:val="auto"/>
                <w:szCs w:val="24"/>
              </w:rPr>
            </w:pPr>
          </w:p>
        </w:tc>
        <w:tc>
          <w:tcPr>
            <w:tcW w:w="1752" w:type="dxa"/>
            <w:vAlign w:val="center"/>
          </w:tcPr>
          <w:p w14:paraId="7F9ABE56">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项目位置土地利用现状图幅号</w:t>
            </w:r>
          </w:p>
        </w:tc>
        <w:tc>
          <w:tcPr>
            <w:tcW w:w="6131" w:type="dxa"/>
            <w:gridSpan w:val="6"/>
            <w:vAlign w:val="center"/>
          </w:tcPr>
          <w:p w14:paraId="1FA97F77">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rPr>
              <w:t>G48H142030</w:t>
            </w:r>
          </w:p>
        </w:tc>
      </w:tr>
      <w:tr w14:paraId="2F5F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695" w:type="dxa"/>
            <w:vMerge w:val="continue"/>
            <w:vAlign w:val="center"/>
          </w:tcPr>
          <w:p w14:paraId="70330C90">
            <w:pPr>
              <w:ind w:firstLine="0" w:firstLineChars="0"/>
              <w:jc w:val="center"/>
              <w:rPr>
                <w:b/>
                <w:color w:val="auto"/>
                <w:szCs w:val="24"/>
              </w:rPr>
            </w:pPr>
          </w:p>
        </w:tc>
        <w:tc>
          <w:tcPr>
            <w:tcW w:w="1752" w:type="dxa"/>
            <w:vAlign w:val="center"/>
          </w:tcPr>
          <w:p w14:paraId="00401DF3">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临时用地</w:t>
            </w:r>
          </w:p>
          <w:p w14:paraId="4A9DE36E">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lang w:val="en-US" w:eastAsia="zh-CN"/>
              </w:rPr>
              <w:t>使用年限</w:t>
            </w:r>
          </w:p>
        </w:tc>
        <w:tc>
          <w:tcPr>
            <w:tcW w:w="2230" w:type="dxa"/>
            <w:gridSpan w:val="2"/>
            <w:vAlign w:val="center"/>
          </w:tcPr>
          <w:p w14:paraId="274BCD12">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lang w:val="en-US" w:eastAsia="zh-CN"/>
              </w:rPr>
              <w:t>4</w:t>
            </w:r>
            <w:r>
              <w:rPr>
                <w:rFonts w:hint="default" w:ascii="Times New Roman" w:hAnsi="Times New Roman" w:eastAsia="FangSong_GB2312" w:cs="Times New Roman"/>
                <w:sz w:val="21"/>
                <w:szCs w:val="21"/>
              </w:rPr>
              <w:t>年（202</w:t>
            </w:r>
            <w:r>
              <w:rPr>
                <w:rFonts w:hint="default" w:ascii="Times New Roman" w:hAnsi="Times New Roman" w:eastAsia="FangSong_GB2312" w:cs="Times New Roman"/>
                <w:sz w:val="21"/>
                <w:szCs w:val="21"/>
                <w:lang w:val="en-US" w:eastAsia="zh-CN"/>
              </w:rPr>
              <w:t>2</w:t>
            </w:r>
            <w:r>
              <w:rPr>
                <w:rFonts w:hint="default" w:ascii="Times New Roman" w:hAnsi="Times New Roman" w:eastAsia="FangSong_GB2312" w:cs="Times New Roman"/>
                <w:sz w:val="21"/>
                <w:szCs w:val="21"/>
              </w:rPr>
              <w:t>年6月</w:t>
            </w:r>
            <w:r>
              <w:rPr>
                <w:rFonts w:hint="eastAsia" w:ascii="Times New Roman" w:hAnsi="Times New Roman" w:eastAsia="FangSong_GB2312" w:cs="Times New Roman"/>
                <w:sz w:val="21"/>
                <w:szCs w:val="21"/>
                <w:lang w:val="en-US" w:eastAsia="zh-CN"/>
              </w:rPr>
              <w:t>-</w:t>
            </w:r>
            <w:r>
              <w:rPr>
                <w:rFonts w:hint="default" w:ascii="Times New Roman" w:hAnsi="Times New Roman" w:eastAsia="FangSong_GB2312" w:cs="Times New Roman"/>
                <w:sz w:val="21"/>
                <w:szCs w:val="21"/>
              </w:rPr>
              <w:t>202</w:t>
            </w:r>
            <w:r>
              <w:rPr>
                <w:rFonts w:hint="default" w:ascii="Times New Roman" w:hAnsi="Times New Roman" w:eastAsia="FangSong_GB2312" w:cs="Times New Roman"/>
                <w:sz w:val="21"/>
                <w:szCs w:val="21"/>
                <w:lang w:val="en-US" w:eastAsia="zh-CN"/>
              </w:rPr>
              <w:t>6</w:t>
            </w:r>
            <w:r>
              <w:rPr>
                <w:rFonts w:hint="default" w:ascii="Times New Roman" w:hAnsi="Times New Roman" w:eastAsia="FangSong_GB2312" w:cs="Times New Roman"/>
                <w:sz w:val="21"/>
                <w:szCs w:val="21"/>
              </w:rPr>
              <w:t>年6月）</w:t>
            </w:r>
          </w:p>
        </w:tc>
        <w:tc>
          <w:tcPr>
            <w:tcW w:w="1326" w:type="dxa"/>
            <w:vAlign w:val="center"/>
          </w:tcPr>
          <w:p w14:paraId="1C69D941">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土地复垦方案服务年限</w:t>
            </w:r>
          </w:p>
        </w:tc>
        <w:tc>
          <w:tcPr>
            <w:tcW w:w="2575" w:type="dxa"/>
            <w:gridSpan w:val="3"/>
            <w:vAlign w:val="center"/>
          </w:tcPr>
          <w:p w14:paraId="787AD2B3">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rPr>
              <w:t>6.5年（2023年6月-20</w:t>
            </w:r>
            <w:r>
              <w:rPr>
                <w:rFonts w:hint="default" w:ascii="Times New Roman" w:hAnsi="Times New Roman" w:eastAsia="FangSong_GB2312" w:cs="Times New Roman"/>
                <w:sz w:val="21"/>
                <w:szCs w:val="21"/>
                <w:lang w:val="en-US" w:eastAsia="zh-CN"/>
              </w:rPr>
              <w:t>29</w:t>
            </w:r>
            <w:r>
              <w:rPr>
                <w:rFonts w:hint="default" w:ascii="Times New Roman" w:hAnsi="Times New Roman" w:eastAsia="FangSong_GB2312" w:cs="Times New Roman"/>
                <w:sz w:val="21"/>
                <w:szCs w:val="21"/>
              </w:rPr>
              <w:t>年</w:t>
            </w:r>
            <w:r>
              <w:rPr>
                <w:rFonts w:hint="default" w:ascii="Times New Roman" w:hAnsi="Times New Roman" w:eastAsia="FangSong_GB2312" w:cs="Times New Roman"/>
                <w:sz w:val="21"/>
                <w:szCs w:val="21"/>
                <w:lang w:val="en-US" w:eastAsia="zh-CN"/>
              </w:rPr>
              <w:t>12</w:t>
            </w:r>
            <w:r>
              <w:rPr>
                <w:rFonts w:hint="default" w:ascii="Times New Roman" w:hAnsi="Times New Roman" w:eastAsia="FangSong_GB2312" w:cs="Times New Roman"/>
                <w:sz w:val="21"/>
                <w:szCs w:val="21"/>
              </w:rPr>
              <w:t>）</w:t>
            </w:r>
          </w:p>
        </w:tc>
      </w:tr>
      <w:tr w14:paraId="617E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restart"/>
            <w:vAlign w:val="center"/>
          </w:tcPr>
          <w:p w14:paraId="0007145F">
            <w:pPr>
              <w:ind w:firstLine="0" w:firstLineChars="0"/>
              <w:jc w:val="center"/>
              <w:rPr>
                <w:b/>
                <w:color w:val="auto"/>
                <w:szCs w:val="24"/>
              </w:rPr>
            </w:pPr>
          </w:p>
          <w:p w14:paraId="1EECB4A6">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方</w:t>
            </w:r>
          </w:p>
          <w:p w14:paraId="5B0F5AD0">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1F550236">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案</w:t>
            </w:r>
          </w:p>
          <w:p w14:paraId="10FCE22E">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7914B606">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编</w:t>
            </w:r>
          </w:p>
          <w:p w14:paraId="7973A0A2">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767539F5">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制</w:t>
            </w:r>
          </w:p>
          <w:p w14:paraId="5C7A6C08">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688EDC97">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单</w:t>
            </w:r>
          </w:p>
          <w:p w14:paraId="1F9F1FA6">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66A7099B">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位</w:t>
            </w:r>
          </w:p>
          <w:p w14:paraId="159E074C">
            <w:pPr>
              <w:ind w:firstLine="0" w:firstLineChars="0"/>
              <w:jc w:val="center"/>
              <w:rPr>
                <w:b/>
                <w:color w:val="auto"/>
                <w:szCs w:val="24"/>
              </w:rPr>
            </w:pPr>
          </w:p>
        </w:tc>
        <w:tc>
          <w:tcPr>
            <w:tcW w:w="1752" w:type="dxa"/>
            <w:vAlign w:val="center"/>
          </w:tcPr>
          <w:p w14:paraId="2AE76B1E">
            <w:pPr>
              <w:spacing w:line="240" w:lineRule="auto"/>
              <w:ind w:firstLine="0" w:firstLineChars="0"/>
              <w:jc w:val="center"/>
              <w:rPr>
                <w:rFonts w:hint="eastAsia" w:hAnsi="宋体"/>
                <w:color w:val="auto"/>
                <w:sz w:val="21"/>
                <w:szCs w:val="21"/>
              </w:rPr>
            </w:pPr>
            <w:r>
              <w:rPr>
                <w:rFonts w:hint="eastAsia" w:hAnsi="宋体"/>
                <w:color w:val="auto"/>
                <w:sz w:val="21"/>
                <w:szCs w:val="21"/>
              </w:rPr>
              <w:t>编制单位名称</w:t>
            </w:r>
          </w:p>
        </w:tc>
        <w:tc>
          <w:tcPr>
            <w:tcW w:w="6131" w:type="dxa"/>
            <w:gridSpan w:val="6"/>
            <w:vAlign w:val="center"/>
          </w:tcPr>
          <w:p w14:paraId="52A62815">
            <w:pPr>
              <w:spacing w:line="240" w:lineRule="auto"/>
              <w:ind w:firstLine="0" w:firstLineChars="0"/>
              <w:jc w:val="center"/>
              <w:rPr>
                <w:rFonts w:hint="eastAsia" w:hAnsi="宋体"/>
                <w:color w:val="auto"/>
                <w:sz w:val="21"/>
                <w:szCs w:val="21"/>
              </w:rPr>
            </w:pPr>
            <w:r>
              <w:rPr>
                <w:rFonts w:hint="eastAsia" w:hAnsi="宋体"/>
                <w:color w:val="auto"/>
                <w:sz w:val="21"/>
                <w:szCs w:val="21"/>
              </w:rPr>
              <w:t>云南坤舆测绘科技有限公司</w:t>
            </w:r>
          </w:p>
        </w:tc>
      </w:tr>
      <w:tr w14:paraId="65C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jc w:val="center"/>
        </w:trPr>
        <w:tc>
          <w:tcPr>
            <w:tcW w:w="695" w:type="dxa"/>
            <w:vMerge w:val="continue"/>
            <w:vAlign w:val="center"/>
          </w:tcPr>
          <w:p w14:paraId="770ABBC2">
            <w:pPr>
              <w:ind w:firstLine="0" w:firstLineChars="0"/>
              <w:jc w:val="center"/>
              <w:rPr>
                <w:b/>
                <w:color w:val="auto"/>
                <w:szCs w:val="24"/>
              </w:rPr>
            </w:pPr>
          </w:p>
        </w:tc>
        <w:tc>
          <w:tcPr>
            <w:tcW w:w="1752" w:type="dxa"/>
            <w:vAlign w:val="center"/>
          </w:tcPr>
          <w:p w14:paraId="3B597100">
            <w:pPr>
              <w:spacing w:line="240" w:lineRule="auto"/>
              <w:ind w:firstLine="0" w:firstLineChars="0"/>
              <w:jc w:val="center"/>
              <w:rPr>
                <w:rFonts w:hint="eastAsia" w:hAnsi="宋体"/>
                <w:color w:val="auto"/>
                <w:sz w:val="21"/>
                <w:szCs w:val="21"/>
              </w:rPr>
            </w:pPr>
            <w:r>
              <w:rPr>
                <w:rFonts w:hint="eastAsia" w:hAnsi="宋体"/>
                <w:color w:val="auto"/>
                <w:sz w:val="21"/>
                <w:szCs w:val="21"/>
              </w:rPr>
              <w:t>法 人 代 表</w:t>
            </w:r>
          </w:p>
        </w:tc>
        <w:tc>
          <w:tcPr>
            <w:tcW w:w="6131" w:type="dxa"/>
            <w:gridSpan w:val="6"/>
            <w:vAlign w:val="center"/>
          </w:tcPr>
          <w:p w14:paraId="2BF70248">
            <w:pPr>
              <w:spacing w:line="240" w:lineRule="auto"/>
              <w:ind w:firstLine="0" w:firstLineChars="0"/>
              <w:jc w:val="center"/>
              <w:rPr>
                <w:rFonts w:hint="eastAsia" w:hAnsi="宋体"/>
                <w:color w:val="auto"/>
                <w:sz w:val="21"/>
                <w:szCs w:val="21"/>
              </w:rPr>
            </w:pPr>
            <w:r>
              <w:rPr>
                <w:rFonts w:hint="eastAsia" w:hAnsi="宋体"/>
                <w:color w:val="auto"/>
                <w:sz w:val="21"/>
                <w:szCs w:val="21"/>
              </w:rPr>
              <w:t>吕翱</w:t>
            </w:r>
          </w:p>
        </w:tc>
      </w:tr>
      <w:tr w14:paraId="79A4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695" w:type="dxa"/>
            <w:vMerge w:val="continue"/>
            <w:vAlign w:val="center"/>
          </w:tcPr>
          <w:p w14:paraId="4931FEA4">
            <w:pPr>
              <w:ind w:firstLine="0" w:firstLineChars="0"/>
              <w:jc w:val="center"/>
              <w:rPr>
                <w:b/>
                <w:color w:val="auto"/>
                <w:szCs w:val="24"/>
              </w:rPr>
            </w:pPr>
          </w:p>
        </w:tc>
        <w:tc>
          <w:tcPr>
            <w:tcW w:w="1752" w:type="dxa"/>
            <w:vAlign w:val="center"/>
          </w:tcPr>
          <w:p w14:paraId="149C7822">
            <w:pPr>
              <w:spacing w:line="240" w:lineRule="auto"/>
              <w:ind w:firstLine="0" w:firstLineChars="0"/>
              <w:jc w:val="center"/>
              <w:rPr>
                <w:rFonts w:hint="eastAsia" w:hAnsi="宋体"/>
                <w:color w:val="auto"/>
                <w:sz w:val="21"/>
                <w:szCs w:val="21"/>
              </w:rPr>
            </w:pPr>
            <w:r>
              <w:rPr>
                <w:rFonts w:hint="eastAsia" w:hAnsi="宋体"/>
                <w:color w:val="auto"/>
                <w:sz w:val="21"/>
                <w:szCs w:val="21"/>
              </w:rPr>
              <w:t>资质证书名称</w:t>
            </w:r>
          </w:p>
        </w:tc>
        <w:tc>
          <w:tcPr>
            <w:tcW w:w="2230" w:type="dxa"/>
            <w:gridSpan w:val="2"/>
            <w:vAlign w:val="center"/>
          </w:tcPr>
          <w:p w14:paraId="6D94D880">
            <w:pPr>
              <w:spacing w:line="240" w:lineRule="auto"/>
              <w:ind w:firstLine="0" w:firstLineChars="0"/>
              <w:jc w:val="center"/>
              <w:rPr>
                <w:rFonts w:hint="eastAsia" w:hAnsi="宋体"/>
                <w:color w:val="auto"/>
                <w:sz w:val="21"/>
                <w:szCs w:val="21"/>
              </w:rPr>
            </w:pPr>
            <w:r>
              <w:rPr>
                <w:rFonts w:hint="eastAsia" w:hAnsi="宋体"/>
                <w:color w:val="auto"/>
                <w:sz w:val="21"/>
                <w:szCs w:val="21"/>
              </w:rPr>
              <w:t>土地规划资质</w:t>
            </w:r>
          </w:p>
        </w:tc>
        <w:tc>
          <w:tcPr>
            <w:tcW w:w="1790" w:type="dxa"/>
            <w:gridSpan w:val="2"/>
            <w:vAlign w:val="center"/>
          </w:tcPr>
          <w:p w14:paraId="0DDEACE7">
            <w:pPr>
              <w:spacing w:line="240" w:lineRule="auto"/>
              <w:ind w:firstLine="0" w:firstLineChars="0"/>
              <w:jc w:val="center"/>
              <w:rPr>
                <w:rFonts w:hint="eastAsia" w:hAnsi="宋体"/>
                <w:color w:val="auto"/>
                <w:sz w:val="21"/>
                <w:szCs w:val="21"/>
              </w:rPr>
            </w:pPr>
            <w:r>
              <w:rPr>
                <w:rFonts w:hint="eastAsia" w:hAnsi="宋体"/>
                <w:color w:val="auto"/>
                <w:sz w:val="21"/>
                <w:szCs w:val="21"/>
              </w:rPr>
              <w:t>单位等级</w:t>
            </w:r>
          </w:p>
        </w:tc>
        <w:tc>
          <w:tcPr>
            <w:tcW w:w="2111" w:type="dxa"/>
            <w:gridSpan w:val="2"/>
            <w:vAlign w:val="center"/>
          </w:tcPr>
          <w:p w14:paraId="2417A1C7">
            <w:pPr>
              <w:spacing w:line="240" w:lineRule="auto"/>
              <w:ind w:firstLine="0" w:firstLineChars="0"/>
              <w:jc w:val="center"/>
              <w:rPr>
                <w:rFonts w:hint="eastAsia" w:hAnsi="宋体"/>
                <w:color w:val="auto"/>
                <w:sz w:val="21"/>
                <w:szCs w:val="21"/>
              </w:rPr>
            </w:pPr>
            <w:r>
              <w:rPr>
                <w:rFonts w:hint="eastAsia" w:hAnsi="宋体"/>
                <w:color w:val="auto"/>
                <w:sz w:val="21"/>
                <w:szCs w:val="21"/>
              </w:rPr>
              <w:t>乙级</w:t>
            </w:r>
          </w:p>
        </w:tc>
      </w:tr>
      <w:tr w14:paraId="6C10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jc w:val="center"/>
        </w:trPr>
        <w:tc>
          <w:tcPr>
            <w:tcW w:w="695" w:type="dxa"/>
            <w:vMerge w:val="continue"/>
            <w:vAlign w:val="center"/>
          </w:tcPr>
          <w:p w14:paraId="0D95B334">
            <w:pPr>
              <w:ind w:firstLine="0" w:firstLineChars="0"/>
              <w:jc w:val="center"/>
              <w:rPr>
                <w:b/>
                <w:color w:val="auto"/>
                <w:szCs w:val="24"/>
              </w:rPr>
            </w:pPr>
          </w:p>
        </w:tc>
        <w:tc>
          <w:tcPr>
            <w:tcW w:w="1752" w:type="dxa"/>
            <w:vAlign w:val="center"/>
          </w:tcPr>
          <w:p w14:paraId="1A68B612">
            <w:pPr>
              <w:spacing w:line="240" w:lineRule="auto"/>
              <w:ind w:firstLine="0" w:firstLineChars="0"/>
              <w:jc w:val="center"/>
              <w:rPr>
                <w:rFonts w:hint="eastAsia" w:hAnsi="宋体"/>
                <w:color w:val="auto"/>
                <w:sz w:val="21"/>
                <w:szCs w:val="21"/>
              </w:rPr>
            </w:pPr>
            <w:r>
              <w:rPr>
                <w:rFonts w:hint="eastAsia" w:hAnsi="宋体"/>
                <w:color w:val="auto"/>
                <w:sz w:val="21"/>
                <w:szCs w:val="21"/>
              </w:rPr>
              <w:t>发 证 机 关</w:t>
            </w:r>
          </w:p>
        </w:tc>
        <w:tc>
          <w:tcPr>
            <w:tcW w:w="2230" w:type="dxa"/>
            <w:gridSpan w:val="2"/>
            <w:vAlign w:val="center"/>
          </w:tcPr>
          <w:p w14:paraId="798D8FB4">
            <w:pPr>
              <w:spacing w:line="240" w:lineRule="auto"/>
              <w:ind w:firstLine="0" w:firstLineChars="0"/>
              <w:jc w:val="center"/>
              <w:rPr>
                <w:rFonts w:hint="eastAsia" w:hAnsi="宋体"/>
                <w:color w:val="auto"/>
                <w:sz w:val="21"/>
                <w:szCs w:val="21"/>
              </w:rPr>
            </w:pPr>
            <w:r>
              <w:rPr>
                <w:rFonts w:hint="eastAsia" w:hAnsi="宋体"/>
                <w:color w:val="auto"/>
                <w:sz w:val="21"/>
                <w:szCs w:val="21"/>
              </w:rPr>
              <w:t>云南省土地学会</w:t>
            </w:r>
          </w:p>
        </w:tc>
        <w:tc>
          <w:tcPr>
            <w:tcW w:w="1790" w:type="dxa"/>
            <w:gridSpan w:val="2"/>
            <w:vAlign w:val="center"/>
          </w:tcPr>
          <w:p w14:paraId="3B9DF9B2">
            <w:pPr>
              <w:spacing w:line="240" w:lineRule="auto"/>
              <w:ind w:firstLine="0" w:firstLineChars="0"/>
              <w:jc w:val="center"/>
              <w:rPr>
                <w:rFonts w:hint="eastAsia" w:hAnsi="宋体"/>
                <w:color w:val="auto"/>
                <w:sz w:val="21"/>
                <w:szCs w:val="21"/>
              </w:rPr>
            </w:pPr>
            <w:r>
              <w:rPr>
                <w:rFonts w:hint="eastAsia" w:hAnsi="宋体"/>
                <w:color w:val="auto"/>
                <w:sz w:val="21"/>
                <w:szCs w:val="21"/>
              </w:rPr>
              <w:t>编    号</w:t>
            </w:r>
          </w:p>
        </w:tc>
        <w:tc>
          <w:tcPr>
            <w:tcW w:w="2111" w:type="dxa"/>
            <w:gridSpan w:val="2"/>
            <w:vAlign w:val="center"/>
          </w:tcPr>
          <w:p w14:paraId="611C5703">
            <w:pPr>
              <w:spacing w:line="240" w:lineRule="auto"/>
              <w:ind w:firstLine="0" w:firstLineChars="0"/>
              <w:jc w:val="center"/>
              <w:rPr>
                <w:rFonts w:hint="eastAsia" w:hAnsi="宋体"/>
                <w:color w:val="auto"/>
                <w:sz w:val="21"/>
                <w:szCs w:val="21"/>
              </w:rPr>
            </w:pPr>
            <w:r>
              <w:rPr>
                <w:rFonts w:hint="eastAsia" w:hAnsi="宋体"/>
                <w:color w:val="auto"/>
                <w:sz w:val="21"/>
                <w:szCs w:val="21"/>
              </w:rPr>
              <w:t>532021033C</w:t>
            </w:r>
          </w:p>
        </w:tc>
      </w:tr>
      <w:tr w14:paraId="1888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695" w:type="dxa"/>
            <w:vMerge w:val="continue"/>
            <w:vAlign w:val="center"/>
          </w:tcPr>
          <w:p w14:paraId="14E1A8ED">
            <w:pPr>
              <w:ind w:firstLine="0" w:firstLineChars="0"/>
              <w:jc w:val="center"/>
              <w:rPr>
                <w:b/>
                <w:color w:val="auto"/>
                <w:szCs w:val="24"/>
                <w:highlight w:val="none"/>
              </w:rPr>
            </w:pPr>
          </w:p>
        </w:tc>
        <w:tc>
          <w:tcPr>
            <w:tcW w:w="1752" w:type="dxa"/>
            <w:vAlign w:val="center"/>
          </w:tcPr>
          <w:p w14:paraId="2A3E8878">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联   系  人</w:t>
            </w:r>
          </w:p>
        </w:tc>
        <w:tc>
          <w:tcPr>
            <w:tcW w:w="2230" w:type="dxa"/>
            <w:gridSpan w:val="2"/>
            <w:vAlign w:val="center"/>
          </w:tcPr>
          <w:p w14:paraId="568447BE">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王涛</w:t>
            </w:r>
          </w:p>
        </w:tc>
        <w:tc>
          <w:tcPr>
            <w:tcW w:w="1790" w:type="dxa"/>
            <w:gridSpan w:val="2"/>
            <w:vAlign w:val="center"/>
          </w:tcPr>
          <w:p w14:paraId="4EFD5395">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联系电话</w:t>
            </w:r>
          </w:p>
        </w:tc>
        <w:tc>
          <w:tcPr>
            <w:tcW w:w="2111" w:type="dxa"/>
            <w:gridSpan w:val="2"/>
            <w:vAlign w:val="center"/>
          </w:tcPr>
          <w:p w14:paraId="74744287">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18788486031</w:t>
            </w:r>
          </w:p>
        </w:tc>
      </w:tr>
      <w:tr w14:paraId="1E9D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695" w:type="dxa"/>
            <w:vMerge w:val="continue"/>
            <w:vAlign w:val="center"/>
          </w:tcPr>
          <w:p w14:paraId="545DDED4">
            <w:pPr>
              <w:ind w:firstLine="0" w:firstLineChars="0"/>
              <w:jc w:val="center"/>
              <w:rPr>
                <w:b/>
                <w:color w:val="auto"/>
                <w:szCs w:val="24"/>
                <w:highlight w:val="none"/>
              </w:rPr>
            </w:pPr>
          </w:p>
        </w:tc>
        <w:tc>
          <w:tcPr>
            <w:tcW w:w="7883" w:type="dxa"/>
            <w:gridSpan w:val="7"/>
            <w:vAlign w:val="center"/>
          </w:tcPr>
          <w:p w14:paraId="1809EB68">
            <w:pPr>
              <w:ind w:firstLine="0" w:firstLineChars="0"/>
              <w:jc w:val="center"/>
              <w:rPr>
                <w:rFonts w:hAnsi="宋体"/>
                <w:color w:val="auto"/>
                <w:sz w:val="21"/>
                <w:szCs w:val="21"/>
                <w:highlight w:val="none"/>
              </w:rPr>
            </w:pPr>
            <w:r>
              <w:rPr>
                <w:rFonts w:hAnsi="宋体"/>
                <w:color w:val="auto"/>
                <w:sz w:val="21"/>
                <w:szCs w:val="21"/>
                <w:highlight w:val="none"/>
              </w:rPr>
              <w:t>主    要    编    制    人    员</w:t>
            </w:r>
          </w:p>
        </w:tc>
      </w:tr>
      <w:tr w14:paraId="71A7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exact"/>
          <w:jc w:val="center"/>
        </w:trPr>
        <w:tc>
          <w:tcPr>
            <w:tcW w:w="695" w:type="dxa"/>
            <w:vMerge w:val="continue"/>
            <w:vAlign w:val="center"/>
          </w:tcPr>
          <w:p w14:paraId="04177FB2">
            <w:pPr>
              <w:ind w:firstLine="0" w:firstLineChars="0"/>
              <w:jc w:val="center"/>
              <w:rPr>
                <w:b/>
                <w:color w:val="auto"/>
                <w:szCs w:val="24"/>
                <w:highlight w:val="none"/>
              </w:rPr>
            </w:pPr>
          </w:p>
        </w:tc>
        <w:tc>
          <w:tcPr>
            <w:tcW w:w="1752" w:type="dxa"/>
            <w:vAlign w:val="center"/>
          </w:tcPr>
          <w:p w14:paraId="3AA650A1">
            <w:pPr>
              <w:ind w:firstLine="0" w:firstLineChars="0"/>
              <w:jc w:val="center"/>
              <w:rPr>
                <w:rFonts w:hAnsi="宋体"/>
                <w:color w:val="auto"/>
                <w:sz w:val="21"/>
                <w:szCs w:val="21"/>
                <w:highlight w:val="none"/>
              </w:rPr>
            </w:pPr>
            <w:r>
              <w:rPr>
                <w:rFonts w:hAnsi="宋体"/>
                <w:color w:val="auto"/>
                <w:sz w:val="21"/>
                <w:szCs w:val="21"/>
                <w:highlight w:val="none"/>
              </w:rPr>
              <w:t>姓  名</w:t>
            </w:r>
          </w:p>
        </w:tc>
        <w:tc>
          <w:tcPr>
            <w:tcW w:w="1383" w:type="dxa"/>
            <w:vAlign w:val="center"/>
          </w:tcPr>
          <w:p w14:paraId="17927F4D">
            <w:pPr>
              <w:ind w:firstLine="0" w:firstLineChars="0"/>
              <w:jc w:val="center"/>
              <w:rPr>
                <w:rFonts w:hAnsi="宋体"/>
                <w:color w:val="auto"/>
                <w:sz w:val="21"/>
                <w:szCs w:val="21"/>
                <w:highlight w:val="none"/>
              </w:rPr>
            </w:pPr>
            <w:r>
              <w:rPr>
                <w:rFonts w:hAnsi="宋体"/>
                <w:color w:val="auto"/>
                <w:sz w:val="21"/>
                <w:szCs w:val="21"/>
                <w:highlight w:val="none"/>
              </w:rPr>
              <w:t>职务/职称</w:t>
            </w:r>
          </w:p>
        </w:tc>
        <w:tc>
          <w:tcPr>
            <w:tcW w:w="2637" w:type="dxa"/>
            <w:gridSpan w:val="3"/>
            <w:vAlign w:val="center"/>
          </w:tcPr>
          <w:p w14:paraId="37154153">
            <w:pPr>
              <w:ind w:firstLine="0" w:firstLineChars="0"/>
              <w:jc w:val="center"/>
              <w:rPr>
                <w:rFonts w:hAnsi="宋体"/>
                <w:color w:val="auto"/>
                <w:sz w:val="21"/>
                <w:szCs w:val="21"/>
                <w:highlight w:val="none"/>
              </w:rPr>
            </w:pPr>
            <w:r>
              <w:rPr>
                <w:rFonts w:hAnsi="宋体"/>
                <w:color w:val="auto"/>
                <w:sz w:val="21"/>
                <w:szCs w:val="21"/>
                <w:highlight w:val="none"/>
              </w:rPr>
              <w:t>专业</w:t>
            </w:r>
          </w:p>
        </w:tc>
        <w:tc>
          <w:tcPr>
            <w:tcW w:w="2111" w:type="dxa"/>
            <w:gridSpan w:val="2"/>
            <w:vAlign w:val="center"/>
          </w:tcPr>
          <w:p w14:paraId="7B604DD4">
            <w:pPr>
              <w:ind w:firstLine="0" w:firstLineChars="0"/>
              <w:jc w:val="center"/>
              <w:rPr>
                <w:rFonts w:hAnsi="宋体"/>
                <w:color w:val="auto"/>
                <w:sz w:val="21"/>
                <w:szCs w:val="21"/>
                <w:highlight w:val="none"/>
              </w:rPr>
            </w:pPr>
            <w:r>
              <w:rPr>
                <w:rFonts w:hAnsi="宋体"/>
                <w:color w:val="auto"/>
                <w:sz w:val="21"/>
                <w:szCs w:val="21"/>
                <w:highlight w:val="none"/>
              </w:rPr>
              <w:t>签  名</w:t>
            </w:r>
          </w:p>
        </w:tc>
      </w:tr>
      <w:tr w14:paraId="22E5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95" w:type="dxa"/>
            <w:vMerge w:val="continue"/>
            <w:vAlign w:val="center"/>
          </w:tcPr>
          <w:p w14:paraId="1C17E1D9">
            <w:pPr>
              <w:ind w:firstLine="0" w:firstLineChars="0"/>
              <w:jc w:val="center"/>
              <w:rPr>
                <w:b/>
                <w:color w:val="auto"/>
                <w:szCs w:val="24"/>
                <w:highlight w:val="none"/>
              </w:rPr>
            </w:pPr>
          </w:p>
        </w:tc>
        <w:tc>
          <w:tcPr>
            <w:tcW w:w="1752" w:type="dxa"/>
            <w:vAlign w:val="center"/>
          </w:tcPr>
          <w:p w14:paraId="2B3CF6CB">
            <w:pPr>
              <w:ind w:firstLine="0" w:firstLineChars="0"/>
              <w:jc w:val="center"/>
              <w:rPr>
                <w:rFonts w:hAnsi="宋体"/>
                <w:color w:val="auto"/>
                <w:sz w:val="21"/>
                <w:szCs w:val="21"/>
                <w:highlight w:val="none"/>
              </w:rPr>
            </w:pPr>
            <w:r>
              <w:rPr>
                <w:rFonts w:hAnsi="宋体"/>
                <w:color w:val="auto"/>
                <w:sz w:val="21"/>
                <w:szCs w:val="21"/>
                <w:highlight w:val="none"/>
              </w:rPr>
              <w:t>岳廷权</w:t>
            </w:r>
          </w:p>
        </w:tc>
        <w:tc>
          <w:tcPr>
            <w:tcW w:w="1383" w:type="dxa"/>
            <w:vAlign w:val="center"/>
          </w:tcPr>
          <w:p w14:paraId="306BD3F2">
            <w:pPr>
              <w:ind w:firstLine="0" w:firstLineChars="0"/>
              <w:jc w:val="center"/>
              <w:rPr>
                <w:rFonts w:hAnsi="宋体"/>
                <w:color w:val="auto"/>
                <w:sz w:val="21"/>
                <w:szCs w:val="21"/>
                <w:highlight w:val="none"/>
              </w:rPr>
            </w:pPr>
            <w:r>
              <w:rPr>
                <w:rFonts w:hAnsi="宋体"/>
                <w:color w:val="auto"/>
                <w:sz w:val="21"/>
                <w:szCs w:val="21"/>
                <w:highlight w:val="none"/>
              </w:rPr>
              <w:t>高    工</w:t>
            </w:r>
          </w:p>
        </w:tc>
        <w:tc>
          <w:tcPr>
            <w:tcW w:w="2637" w:type="dxa"/>
            <w:gridSpan w:val="3"/>
            <w:vAlign w:val="center"/>
          </w:tcPr>
          <w:p w14:paraId="5B479AA1">
            <w:pPr>
              <w:ind w:firstLine="0" w:firstLineChars="0"/>
              <w:jc w:val="center"/>
              <w:rPr>
                <w:rFonts w:hAnsi="宋体"/>
                <w:color w:val="auto"/>
                <w:sz w:val="21"/>
                <w:szCs w:val="21"/>
                <w:highlight w:val="none"/>
              </w:rPr>
            </w:pPr>
            <w:r>
              <w:rPr>
                <w:rFonts w:hAnsi="宋体"/>
                <w:color w:val="auto"/>
                <w:sz w:val="21"/>
                <w:szCs w:val="21"/>
                <w:highlight w:val="none"/>
              </w:rPr>
              <w:t>土地资源管理</w:t>
            </w:r>
          </w:p>
        </w:tc>
        <w:tc>
          <w:tcPr>
            <w:tcW w:w="2111" w:type="dxa"/>
            <w:gridSpan w:val="2"/>
            <w:vAlign w:val="center"/>
          </w:tcPr>
          <w:p w14:paraId="1DE97BC0">
            <w:pPr>
              <w:ind w:firstLine="0" w:firstLineChars="0"/>
              <w:jc w:val="center"/>
              <w:rPr>
                <w:rFonts w:hAnsi="宋体"/>
                <w:color w:val="auto"/>
                <w:sz w:val="21"/>
                <w:szCs w:val="21"/>
                <w:highlight w:val="none"/>
              </w:rPr>
            </w:pPr>
          </w:p>
        </w:tc>
      </w:tr>
      <w:tr w14:paraId="7648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95" w:type="dxa"/>
            <w:vMerge w:val="continue"/>
            <w:vAlign w:val="center"/>
          </w:tcPr>
          <w:p w14:paraId="311BCECE">
            <w:pPr>
              <w:ind w:firstLine="0" w:firstLineChars="0"/>
              <w:jc w:val="center"/>
              <w:rPr>
                <w:b/>
                <w:color w:val="auto"/>
                <w:szCs w:val="24"/>
                <w:highlight w:val="none"/>
              </w:rPr>
            </w:pPr>
          </w:p>
        </w:tc>
        <w:tc>
          <w:tcPr>
            <w:tcW w:w="1752" w:type="dxa"/>
            <w:vAlign w:val="center"/>
          </w:tcPr>
          <w:p w14:paraId="6405B4F9">
            <w:pPr>
              <w:ind w:firstLine="0" w:firstLineChars="0"/>
              <w:jc w:val="center"/>
              <w:rPr>
                <w:rFonts w:hAnsi="宋体"/>
                <w:color w:val="auto"/>
                <w:sz w:val="21"/>
                <w:szCs w:val="21"/>
                <w:highlight w:val="none"/>
              </w:rPr>
            </w:pPr>
            <w:r>
              <w:rPr>
                <w:rFonts w:hAnsi="宋体"/>
                <w:color w:val="auto"/>
                <w:sz w:val="21"/>
                <w:szCs w:val="21"/>
                <w:highlight w:val="none"/>
              </w:rPr>
              <w:t>叶俊成</w:t>
            </w:r>
          </w:p>
        </w:tc>
        <w:tc>
          <w:tcPr>
            <w:tcW w:w="1383" w:type="dxa"/>
            <w:vAlign w:val="center"/>
          </w:tcPr>
          <w:p w14:paraId="31D3F95C">
            <w:pPr>
              <w:ind w:firstLine="0" w:firstLineChars="0"/>
              <w:jc w:val="center"/>
              <w:rPr>
                <w:rFonts w:hAnsi="宋体"/>
                <w:color w:val="auto"/>
                <w:sz w:val="21"/>
                <w:szCs w:val="21"/>
                <w:highlight w:val="none"/>
              </w:rPr>
            </w:pPr>
            <w:r>
              <w:rPr>
                <w:rFonts w:hAnsi="宋体"/>
                <w:color w:val="auto"/>
                <w:sz w:val="21"/>
                <w:szCs w:val="21"/>
                <w:highlight w:val="none"/>
              </w:rPr>
              <w:t>高    工</w:t>
            </w:r>
          </w:p>
        </w:tc>
        <w:tc>
          <w:tcPr>
            <w:tcW w:w="2637" w:type="dxa"/>
            <w:gridSpan w:val="3"/>
            <w:vAlign w:val="center"/>
          </w:tcPr>
          <w:p w14:paraId="24F6FCB6">
            <w:pPr>
              <w:ind w:firstLine="0" w:firstLineChars="0"/>
              <w:jc w:val="center"/>
              <w:rPr>
                <w:rFonts w:hAnsi="宋体"/>
                <w:color w:val="auto"/>
                <w:sz w:val="21"/>
                <w:szCs w:val="21"/>
                <w:highlight w:val="none"/>
              </w:rPr>
            </w:pPr>
            <w:r>
              <w:rPr>
                <w:rFonts w:hAnsi="宋体"/>
                <w:color w:val="auto"/>
                <w:sz w:val="21"/>
                <w:szCs w:val="21"/>
                <w:highlight w:val="none"/>
              </w:rPr>
              <w:t>地理信息系统</w:t>
            </w:r>
          </w:p>
        </w:tc>
        <w:tc>
          <w:tcPr>
            <w:tcW w:w="2111" w:type="dxa"/>
            <w:gridSpan w:val="2"/>
            <w:vAlign w:val="center"/>
          </w:tcPr>
          <w:p w14:paraId="28FAAE92">
            <w:pPr>
              <w:ind w:firstLine="0" w:firstLineChars="0"/>
              <w:jc w:val="center"/>
              <w:rPr>
                <w:rFonts w:hAnsi="宋体"/>
                <w:color w:val="auto"/>
                <w:sz w:val="21"/>
                <w:szCs w:val="21"/>
                <w:highlight w:val="none"/>
              </w:rPr>
            </w:pPr>
          </w:p>
        </w:tc>
      </w:tr>
      <w:tr w14:paraId="0684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695" w:type="dxa"/>
            <w:vMerge w:val="continue"/>
            <w:vAlign w:val="center"/>
          </w:tcPr>
          <w:p w14:paraId="7A57ABCD">
            <w:pPr>
              <w:ind w:firstLine="0" w:firstLineChars="0"/>
              <w:jc w:val="center"/>
              <w:rPr>
                <w:b/>
                <w:color w:val="auto"/>
                <w:szCs w:val="24"/>
                <w:highlight w:val="none"/>
              </w:rPr>
            </w:pPr>
          </w:p>
        </w:tc>
        <w:tc>
          <w:tcPr>
            <w:tcW w:w="1752" w:type="dxa"/>
            <w:vAlign w:val="center"/>
          </w:tcPr>
          <w:p w14:paraId="1FBC3FAF">
            <w:pPr>
              <w:ind w:firstLine="0" w:firstLineChars="0"/>
              <w:jc w:val="center"/>
              <w:rPr>
                <w:rFonts w:hAnsi="宋体"/>
                <w:color w:val="auto"/>
                <w:sz w:val="21"/>
                <w:szCs w:val="21"/>
                <w:highlight w:val="none"/>
              </w:rPr>
            </w:pPr>
            <w:r>
              <w:rPr>
                <w:rFonts w:hAnsi="宋体"/>
                <w:color w:val="auto"/>
                <w:sz w:val="21"/>
                <w:szCs w:val="21"/>
                <w:highlight w:val="none"/>
              </w:rPr>
              <w:t>岳廷禹</w:t>
            </w:r>
          </w:p>
        </w:tc>
        <w:tc>
          <w:tcPr>
            <w:tcW w:w="1383" w:type="dxa"/>
            <w:vAlign w:val="center"/>
          </w:tcPr>
          <w:p w14:paraId="7286B8BF">
            <w:pPr>
              <w:ind w:firstLine="0" w:firstLineChars="0"/>
              <w:jc w:val="center"/>
              <w:rPr>
                <w:rFonts w:hAnsi="宋体"/>
                <w:color w:val="auto"/>
                <w:sz w:val="21"/>
                <w:szCs w:val="21"/>
                <w:highlight w:val="none"/>
              </w:rPr>
            </w:pPr>
            <w:r>
              <w:rPr>
                <w:rFonts w:hAnsi="宋体"/>
                <w:color w:val="auto"/>
                <w:sz w:val="21"/>
                <w:szCs w:val="21"/>
                <w:highlight w:val="none"/>
              </w:rPr>
              <w:t xml:space="preserve"> 工 程 师</w:t>
            </w:r>
          </w:p>
        </w:tc>
        <w:tc>
          <w:tcPr>
            <w:tcW w:w="2637" w:type="dxa"/>
            <w:gridSpan w:val="3"/>
            <w:vAlign w:val="center"/>
          </w:tcPr>
          <w:p w14:paraId="148B91C4">
            <w:pPr>
              <w:ind w:firstLine="0" w:firstLineChars="0"/>
              <w:jc w:val="center"/>
              <w:rPr>
                <w:rFonts w:hAnsi="宋体"/>
                <w:color w:val="auto"/>
                <w:sz w:val="21"/>
                <w:szCs w:val="21"/>
                <w:highlight w:val="none"/>
              </w:rPr>
            </w:pPr>
            <w:r>
              <w:rPr>
                <w:rFonts w:hAnsi="宋体"/>
                <w:color w:val="auto"/>
                <w:sz w:val="21"/>
                <w:szCs w:val="21"/>
                <w:highlight w:val="none"/>
              </w:rPr>
              <w:t>地理信息系统</w:t>
            </w:r>
          </w:p>
        </w:tc>
        <w:tc>
          <w:tcPr>
            <w:tcW w:w="2111" w:type="dxa"/>
            <w:gridSpan w:val="2"/>
            <w:vAlign w:val="center"/>
          </w:tcPr>
          <w:p w14:paraId="1E2248DF">
            <w:pPr>
              <w:ind w:firstLine="0" w:firstLineChars="0"/>
              <w:jc w:val="center"/>
              <w:rPr>
                <w:rFonts w:hAnsi="宋体"/>
                <w:color w:val="auto"/>
                <w:sz w:val="21"/>
                <w:szCs w:val="21"/>
                <w:highlight w:val="none"/>
              </w:rPr>
            </w:pPr>
          </w:p>
        </w:tc>
      </w:tr>
      <w:tr w14:paraId="599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695" w:type="dxa"/>
            <w:vMerge w:val="continue"/>
            <w:vAlign w:val="center"/>
          </w:tcPr>
          <w:p w14:paraId="3A0B274D">
            <w:pPr>
              <w:ind w:firstLine="0" w:firstLineChars="0"/>
              <w:jc w:val="center"/>
              <w:rPr>
                <w:b/>
                <w:color w:val="auto"/>
                <w:szCs w:val="24"/>
                <w:highlight w:val="none"/>
              </w:rPr>
            </w:pPr>
          </w:p>
        </w:tc>
        <w:tc>
          <w:tcPr>
            <w:tcW w:w="1752" w:type="dxa"/>
            <w:vAlign w:val="center"/>
          </w:tcPr>
          <w:p w14:paraId="3C09232B">
            <w:pPr>
              <w:ind w:firstLine="0" w:firstLineChars="0"/>
              <w:jc w:val="center"/>
              <w:rPr>
                <w:rFonts w:hAnsi="宋体"/>
                <w:color w:val="auto"/>
                <w:sz w:val="21"/>
                <w:szCs w:val="21"/>
                <w:highlight w:val="none"/>
              </w:rPr>
            </w:pPr>
            <w:r>
              <w:rPr>
                <w:rFonts w:hAnsi="宋体"/>
                <w:color w:val="auto"/>
                <w:sz w:val="21"/>
                <w:szCs w:val="21"/>
                <w:highlight w:val="none"/>
              </w:rPr>
              <w:t>李海兵</w:t>
            </w:r>
          </w:p>
        </w:tc>
        <w:tc>
          <w:tcPr>
            <w:tcW w:w="1383" w:type="dxa"/>
            <w:vAlign w:val="center"/>
          </w:tcPr>
          <w:p w14:paraId="4FBF603E">
            <w:pPr>
              <w:ind w:firstLine="0" w:firstLineChars="0"/>
              <w:jc w:val="center"/>
              <w:rPr>
                <w:rFonts w:hAnsi="宋体"/>
                <w:color w:val="auto"/>
                <w:sz w:val="21"/>
                <w:szCs w:val="21"/>
                <w:highlight w:val="none"/>
              </w:rPr>
            </w:pPr>
            <w:r>
              <w:rPr>
                <w:rFonts w:hAnsi="宋体"/>
                <w:color w:val="auto"/>
                <w:sz w:val="21"/>
                <w:szCs w:val="21"/>
                <w:highlight w:val="none"/>
              </w:rPr>
              <w:t>工 程 师</w:t>
            </w:r>
          </w:p>
        </w:tc>
        <w:tc>
          <w:tcPr>
            <w:tcW w:w="2637" w:type="dxa"/>
            <w:gridSpan w:val="3"/>
            <w:vAlign w:val="center"/>
          </w:tcPr>
          <w:p w14:paraId="76AF761B">
            <w:pPr>
              <w:ind w:firstLine="0" w:firstLineChars="0"/>
              <w:jc w:val="center"/>
              <w:rPr>
                <w:rFonts w:hAnsi="宋体"/>
                <w:color w:val="auto"/>
                <w:sz w:val="21"/>
                <w:szCs w:val="21"/>
                <w:highlight w:val="none"/>
              </w:rPr>
            </w:pPr>
            <w:r>
              <w:rPr>
                <w:rFonts w:hAnsi="宋体"/>
                <w:color w:val="auto"/>
                <w:sz w:val="21"/>
                <w:szCs w:val="21"/>
                <w:highlight w:val="none"/>
              </w:rPr>
              <w:t>工程造价</w:t>
            </w:r>
          </w:p>
        </w:tc>
        <w:tc>
          <w:tcPr>
            <w:tcW w:w="2111" w:type="dxa"/>
            <w:gridSpan w:val="2"/>
            <w:vAlign w:val="center"/>
          </w:tcPr>
          <w:p w14:paraId="25FEDF11">
            <w:pPr>
              <w:ind w:firstLine="0" w:firstLineChars="0"/>
              <w:jc w:val="center"/>
              <w:rPr>
                <w:rFonts w:hAnsi="宋体"/>
                <w:color w:val="auto"/>
                <w:sz w:val="21"/>
                <w:szCs w:val="21"/>
                <w:highlight w:val="none"/>
              </w:rPr>
            </w:pPr>
          </w:p>
        </w:tc>
      </w:tr>
    </w:tbl>
    <w:p w14:paraId="5C63CEB1">
      <w:pPr>
        <w:rPr>
          <w:rFonts w:hint="default" w:ascii="Times New Roman" w:hAnsi="Times New Roman" w:cs="Times New Roman"/>
          <w:b w:val="0"/>
          <w:bCs w:val="0"/>
          <w:color w:val="auto"/>
          <w:szCs w:val="21"/>
          <w:highlight w:val="none"/>
        </w:rPr>
      </w:pPr>
    </w:p>
    <w:tbl>
      <w:tblPr>
        <w:tblStyle w:val="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1"/>
        <w:gridCol w:w="111"/>
        <w:gridCol w:w="1153"/>
        <w:gridCol w:w="1041"/>
        <w:gridCol w:w="629"/>
        <w:gridCol w:w="464"/>
        <w:gridCol w:w="1249"/>
        <w:gridCol w:w="1561"/>
      </w:tblGrid>
      <w:tr w14:paraId="521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45C41DD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复</w:t>
            </w:r>
          </w:p>
          <w:p w14:paraId="25B6B34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垦</w:t>
            </w:r>
          </w:p>
          <w:p w14:paraId="0A2DBD0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区</w:t>
            </w:r>
          </w:p>
          <w:p w14:paraId="58B8919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土</w:t>
            </w:r>
          </w:p>
          <w:p w14:paraId="1F9878A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地</w:t>
            </w:r>
          </w:p>
          <w:p w14:paraId="0009EEC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利</w:t>
            </w:r>
          </w:p>
          <w:p w14:paraId="0F7216C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用</w:t>
            </w:r>
          </w:p>
          <w:p w14:paraId="24AA98F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现</w:t>
            </w:r>
          </w:p>
          <w:p w14:paraId="40038ECD">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状</w:t>
            </w:r>
          </w:p>
        </w:tc>
        <w:tc>
          <w:tcPr>
            <w:tcW w:w="2435" w:type="dxa"/>
            <w:gridSpan w:val="3"/>
            <w:vAlign w:val="center"/>
          </w:tcPr>
          <w:p w14:paraId="4200BFCC">
            <w:pPr>
              <w:ind w:firstLine="0" w:firstLineChars="0"/>
              <w:jc w:val="center"/>
              <w:rPr>
                <w:rFonts w:hAnsi="宋体"/>
                <w:color w:val="auto"/>
                <w:sz w:val="21"/>
                <w:szCs w:val="21"/>
                <w:highlight w:val="none"/>
              </w:rPr>
            </w:pPr>
            <w:r>
              <w:rPr>
                <w:rFonts w:hAnsi="宋体"/>
                <w:color w:val="auto"/>
                <w:sz w:val="21"/>
                <w:szCs w:val="21"/>
                <w:highlight w:val="none"/>
              </w:rPr>
              <w:t>土地类型</w:t>
            </w:r>
          </w:p>
        </w:tc>
        <w:tc>
          <w:tcPr>
            <w:tcW w:w="4944" w:type="dxa"/>
            <w:gridSpan w:val="5"/>
            <w:vAlign w:val="center"/>
          </w:tcPr>
          <w:p w14:paraId="68A8484A">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3ACE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5400078">
            <w:pPr>
              <w:ind w:firstLine="0" w:firstLineChars="0"/>
              <w:jc w:val="center"/>
              <w:rPr>
                <w:b/>
                <w:color w:val="auto"/>
                <w:highlight w:val="none"/>
              </w:rPr>
            </w:pPr>
          </w:p>
        </w:tc>
        <w:tc>
          <w:tcPr>
            <w:tcW w:w="1282" w:type="dxa"/>
            <w:gridSpan w:val="2"/>
            <w:vAlign w:val="center"/>
          </w:tcPr>
          <w:p w14:paraId="408B6B1E">
            <w:pPr>
              <w:ind w:firstLine="0" w:firstLineChars="0"/>
              <w:jc w:val="center"/>
              <w:rPr>
                <w:rFonts w:hAnsi="宋体"/>
                <w:color w:val="auto"/>
                <w:sz w:val="21"/>
                <w:szCs w:val="21"/>
                <w:highlight w:val="none"/>
              </w:rPr>
            </w:pPr>
            <w:r>
              <w:rPr>
                <w:rFonts w:hAnsi="宋体"/>
                <w:color w:val="auto"/>
                <w:sz w:val="21"/>
                <w:szCs w:val="21"/>
                <w:highlight w:val="none"/>
              </w:rPr>
              <w:t>一级地类</w:t>
            </w:r>
          </w:p>
        </w:tc>
        <w:tc>
          <w:tcPr>
            <w:tcW w:w="1153" w:type="dxa"/>
            <w:vAlign w:val="center"/>
          </w:tcPr>
          <w:p w14:paraId="5BF5F434">
            <w:pPr>
              <w:ind w:firstLine="0" w:firstLineChars="0"/>
              <w:jc w:val="center"/>
              <w:rPr>
                <w:rFonts w:hAnsi="宋体"/>
                <w:color w:val="auto"/>
                <w:sz w:val="21"/>
                <w:szCs w:val="21"/>
                <w:highlight w:val="none"/>
              </w:rPr>
            </w:pPr>
            <w:r>
              <w:rPr>
                <w:rFonts w:hAnsi="宋体"/>
                <w:color w:val="auto"/>
                <w:sz w:val="21"/>
                <w:szCs w:val="21"/>
                <w:highlight w:val="none"/>
              </w:rPr>
              <w:t>二级地类</w:t>
            </w:r>
          </w:p>
        </w:tc>
        <w:tc>
          <w:tcPr>
            <w:tcW w:w="1041" w:type="dxa"/>
            <w:vAlign w:val="center"/>
          </w:tcPr>
          <w:p w14:paraId="5BA7B4EF">
            <w:pPr>
              <w:ind w:firstLine="0" w:firstLineChars="0"/>
              <w:jc w:val="center"/>
              <w:rPr>
                <w:rFonts w:hAnsi="宋体"/>
                <w:color w:val="auto"/>
                <w:sz w:val="21"/>
                <w:szCs w:val="21"/>
                <w:highlight w:val="none"/>
              </w:rPr>
            </w:pPr>
            <w:r>
              <w:rPr>
                <w:rFonts w:hAnsi="宋体"/>
                <w:color w:val="auto"/>
                <w:sz w:val="21"/>
                <w:szCs w:val="21"/>
                <w:highlight w:val="none"/>
              </w:rPr>
              <w:t>小 计</w:t>
            </w:r>
          </w:p>
        </w:tc>
        <w:tc>
          <w:tcPr>
            <w:tcW w:w="1093" w:type="dxa"/>
            <w:gridSpan w:val="2"/>
            <w:vAlign w:val="center"/>
          </w:tcPr>
          <w:p w14:paraId="31FCCF1C">
            <w:pPr>
              <w:ind w:firstLine="0" w:firstLineChars="0"/>
              <w:jc w:val="center"/>
              <w:rPr>
                <w:rFonts w:hAnsi="宋体"/>
                <w:color w:val="auto"/>
                <w:sz w:val="21"/>
                <w:szCs w:val="21"/>
                <w:highlight w:val="none"/>
              </w:rPr>
            </w:pPr>
            <w:r>
              <w:rPr>
                <w:rFonts w:hAnsi="宋体"/>
                <w:color w:val="auto"/>
                <w:sz w:val="21"/>
                <w:szCs w:val="21"/>
                <w:highlight w:val="none"/>
              </w:rPr>
              <w:t>已损毁</w:t>
            </w:r>
          </w:p>
        </w:tc>
        <w:tc>
          <w:tcPr>
            <w:tcW w:w="1249" w:type="dxa"/>
            <w:vAlign w:val="center"/>
          </w:tcPr>
          <w:p w14:paraId="03C75CAC">
            <w:pPr>
              <w:ind w:firstLine="0" w:firstLineChars="0"/>
              <w:jc w:val="center"/>
              <w:rPr>
                <w:rFonts w:hAnsi="宋体"/>
                <w:color w:val="auto"/>
                <w:sz w:val="21"/>
                <w:szCs w:val="21"/>
                <w:highlight w:val="none"/>
              </w:rPr>
            </w:pPr>
            <w:r>
              <w:rPr>
                <w:rFonts w:hAnsi="宋体"/>
                <w:color w:val="auto"/>
                <w:sz w:val="21"/>
                <w:szCs w:val="21"/>
                <w:highlight w:val="none"/>
              </w:rPr>
              <w:t>拟损毁</w:t>
            </w:r>
          </w:p>
        </w:tc>
        <w:tc>
          <w:tcPr>
            <w:tcW w:w="1561" w:type="dxa"/>
            <w:vAlign w:val="center"/>
          </w:tcPr>
          <w:p w14:paraId="7DF93AFF">
            <w:pPr>
              <w:ind w:firstLine="0" w:firstLineChars="0"/>
              <w:jc w:val="center"/>
              <w:rPr>
                <w:rFonts w:hAnsi="宋体"/>
                <w:color w:val="auto"/>
                <w:sz w:val="21"/>
                <w:szCs w:val="21"/>
                <w:highlight w:val="none"/>
              </w:rPr>
            </w:pPr>
            <w:r>
              <w:rPr>
                <w:rFonts w:hAnsi="宋体"/>
                <w:color w:val="auto"/>
                <w:sz w:val="21"/>
                <w:szCs w:val="21"/>
                <w:highlight w:val="none"/>
              </w:rPr>
              <w:t>占 用</w:t>
            </w:r>
          </w:p>
        </w:tc>
      </w:tr>
      <w:tr w14:paraId="4702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38BDF28C">
            <w:pPr>
              <w:ind w:firstLine="0" w:firstLineChars="0"/>
              <w:jc w:val="center"/>
              <w:rPr>
                <w:b/>
                <w:color w:val="auto"/>
                <w:highlight w:val="none"/>
              </w:rPr>
            </w:pPr>
          </w:p>
        </w:tc>
        <w:tc>
          <w:tcPr>
            <w:tcW w:w="1282" w:type="dxa"/>
            <w:gridSpan w:val="2"/>
            <w:vAlign w:val="center"/>
          </w:tcPr>
          <w:p w14:paraId="11993EFE">
            <w:pPr>
              <w:ind w:firstLine="0" w:firstLineChars="0"/>
              <w:jc w:val="center"/>
              <w:rPr>
                <w:rFonts w:hAnsi="宋体"/>
                <w:color w:val="auto"/>
                <w:sz w:val="21"/>
                <w:szCs w:val="21"/>
                <w:highlight w:val="none"/>
              </w:rPr>
            </w:pPr>
            <w:r>
              <w:rPr>
                <w:rFonts w:hAnsi="宋体"/>
                <w:color w:val="auto"/>
                <w:sz w:val="21"/>
                <w:szCs w:val="21"/>
                <w:highlight w:val="none"/>
              </w:rPr>
              <w:t>耕地</w:t>
            </w:r>
          </w:p>
        </w:tc>
        <w:tc>
          <w:tcPr>
            <w:tcW w:w="1153" w:type="dxa"/>
            <w:vAlign w:val="center"/>
          </w:tcPr>
          <w:p w14:paraId="06823624">
            <w:pPr>
              <w:ind w:firstLine="0" w:firstLineChars="0"/>
              <w:jc w:val="center"/>
              <w:rPr>
                <w:rFonts w:hAnsi="宋体"/>
                <w:color w:val="auto"/>
                <w:sz w:val="21"/>
                <w:szCs w:val="21"/>
                <w:highlight w:val="none"/>
              </w:rPr>
            </w:pPr>
            <w:r>
              <w:rPr>
                <w:rFonts w:hAnsi="宋体"/>
                <w:color w:val="auto"/>
                <w:sz w:val="21"/>
                <w:szCs w:val="21"/>
                <w:highlight w:val="none"/>
              </w:rPr>
              <w:t>旱地</w:t>
            </w:r>
          </w:p>
        </w:tc>
        <w:tc>
          <w:tcPr>
            <w:tcW w:w="1041" w:type="dxa"/>
            <w:vAlign w:val="center"/>
          </w:tcPr>
          <w:p w14:paraId="774DEC16">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36AE4835">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7D4B6753">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1071F67B">
            <w:pPr>
              <w:ind w:firstLine="0" w:firstLineChars="0"/>
              <w:jc w:val="center"/>
              <w:rPr>
                <w:rFonts w:hAnsi="宋体"/>
                <w:color w:val="auto"/>
                <w:sz w:val="21"/>
                <w:szCs w:val="21"/>
                <w:highlight w:val="none"/>
              </w:rPr>
            </w:pPr>
            <w:r>
              <w:rPr>
                <w:rFonts w:cs="Times New Roman"/>
                <w:sz w:val="21"/>
                <w:szCs w:val="21"/>
              </w:rPr>
              <w:t>***</w:t>
            </w:r>
          </w:p>
        </w:tc>
      </w:tr>
      <w:tr w14:paraId="7733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41430AF0">
            <w:pPr>
              <w:ind w:firstLine="0" w:firstLineChars="0"/>
              <w:jc w:val="center"/>
              <w:rPr>
                <w:b/>
                <w:color w:val="auto"/>
                <w:highlight w:val="none"/>
              </w:rPr>
            </w:pPr>
          </w:p>
        </w:tc>
        <w:tc>
          <w:tcPr>
            <w:tcW w:w="1282" w:type="dxa"/>
            <w:gridSpan w:val="2"/>
            <w:vMerge w:val="restart"/>
            <w:vAlign w:val="center"/>
          </w:tcPr>
          <w:p w14:paraId="7FEFC2E0">
            <w:pPr>
              <w:ind w:firstLine="0" w:firstLineChars="0"/>
              <w:jc w:val="center"/>
              <w:rPr>
                <w:rFonts w:hAnsi="宋体"/>
                <w:color w:val="auto"/>
                <w:sz w:val="21"/>
                <w:szCs w:val="21"/>
                <w:highlight w:val="none"/>
              </w:rPr>
            </w:pPr>
            <w:r>
              <w:rPr>
                <w:rFonts w:hAnsi="宋体"/>
                <w:color w:val="auto"/>
                <w:sz w:val="21"/>
                <w:szCs w:val="21"/>
                <w:highlight w:val="none"/>
              </w:rPr>
              <w:t>林地</w:t>
            </w:r>
          </w:p>
        </w:tc>
        <w:tc>
          <w:tcPr>
            <w:tcW w:w="1153" w:type="dxa"/>
            <w:vAlign w:val="center"/>
          </w:tcPr>
          <w:p w14:paraId="28A4B74F">
            <w:pPr>
              <w:ind w:firstLine="0" w:firstLineChars="0"/>
              <w:jc w:val="center"/>
              <w:rPr>
                <w:rFonts w:hAnsi="宋体"/>
                <w:color w:val="auto"/>
                <w:sz w:val="21"/>
                <w:szCs w:val="21"/>
                <w:highlight w:val="none"/>
              </w:rPr>
            </w:pPr>
            <w:r>
              <w:rPr>
                <w:rFonts w:hAnsi="宋体"/>
                <w:color w:val="auto"/>
                <w:sz w:val="21"/>
                <w:szCs w:val="21"/>
                <w:highlight w:val="none"/>
              </w:rPr>
              <w:t>乔木林地</w:t>
            </w:r>
          </w:p>
        </w:tc>
        <w:tc>
          <w:tcPr>
            <w:tcW w:w="1041" w:type="dxa"/>
            <w:vAlign w:val="center"/>
          </w:tcPr>
          <w:p w14:paraId="3B71935D">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3768C2F6">
            <w:pPr>
              <w:spacing w:line="240" w:lineRule="auto"/>
              <w:ind w:left="0" w:leftChars="0" w:firstLine="0" w:firstLineChars="0"/>
              <w:jc w:val="center"/>
              <w:rPr>
                <w:rFonts w:hint="default" w:hAnsi="宋体"/>
                <w:color w:val="auto"/>
                <w:sz w:val="21"/>
                <w:szCs w:val="21"/>
                <w:highlight w:val="none"/>
                <w:lang w:val="en-US"/>
              </w:rPr>
            </w:pPr>
            <w:r>
              <w:rPr>
                <w:rFonts w:cs="Times New Roman"/>
                <w:sz w:val="21"/>
                <w:szCs w:val="21"/>
              </w:rPr>
              <w:t>***</w:t>
            </w:r>
          </w:p>
        </w:tc>
        <w:tc>
          <w:tcPr>
            <w:tcW w:w="1249" w:type="dxa"/>
            <w:vAlign w:val="center"/>
          </w:tcPr>
          <w:p w14:paraId="50372009">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39C70279">
            <w:pPr>
              <w:ind w:firstLine="0" w:firstLineChars="0"/>
              <w:jc w:val="center"/>
              <w:rPr>
                <w:rFonts w:hAnsi="宋体"/>
                <w:color w:val="auto"/>
                <w:sz w:val="21"/>
                <w:szCs w:val="21"/>
                <w:highlight w:val="none"/>
              </w:rPr>
            </w:pPr>
            <w:r>
              <w:rPr>
                <w:rFonts w:cs="Times New Roman"/>
                <w:sz w:val="21"/>
                <w:szCs w:val="21"/>
              </w:rPr>
              <w:t>***</w:t>
            </w:r>
          </w:p>
        </w:tc>
      </w:tr>
      <w:tr w14:paraId="13A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759E6A00">
            <w:pPr>
              <w:ind w:firstLine="0" w:firstLineChars="0"/>
              <w:jc w:val="center"/>
              <w:rPr>
                <w:b/>
                <w:color w:val="auto"/>
                <w:highlight w:val="none"/>
              </w:rPr>
            </w:pPr>
          </w:p>
        </w:tc>
        <w:tc>
          <w:tcPr>
            <w:tcW w:w="1282" w:type="dxa"/>
            <w:gridSpan w:val="2"/>
            <w:vMerge w:val="continue"/>
            <w:vAlign w:val="center"/>
          </w:tcPr>
          <w:p w14:paraId="4FC04F7A">
            <w:pPr>
              <w:ind w:firstLine="0" w:firstLineChars="0"/>
              <w:jc w:val="center"/>
              <w:rPr>
                <w:rFonts w:hAnsi="宋体"/>
                <w:color w:val="auto"/>
                <w:sz w:val="21"/>
                <w:szCs w:val="21"/>
                <w:highlight w:val="none"/>
              </w:rPr>
            </w:pPr>
          </w:p>
        </w:tc>
        <w:tc>
          <w:tcPr>
            <w:tcW w:w="1153" w:type="dxa"/>
            <w:vAlign w:val="center"/>
          </w:tcPr>
          <w:p w14:paraId="6108BB06">
            <w:pPr>
              <w:ind w:firstLine="0" w:firstLineChars="0"/>
              <w:jc w:val="center"/>
              <w:rPr>
                <w:rFonts w:hAnsi="宋体"/>
                <w:color w:val="auto"/>
                <w:sz w:val="21"/>
                <w:szCs w:val="21"/>
                <w:highlight w:val="none"/>
              </w:rPr>
            </w:pPr>
            <w:r>
              <w:rPr>
                <w:rFonts w:hAnsi="宋体"/>
                <w:color w:val="auto"/>
                <w:sz w:val="21"/>
                <w:szCs w:val="21"/>
                <w:highlight w:val="none"/>
              </w:rPr>
              <w:t>其他林地</w:t>
            </w:r>
          </w:p>
        </w:tc>
        <w:tc>
          <w:tcPr>
            <w:tcW w:w="1041" w:type="dxa"/>
            <w:vAlign w:val="center"/>
          </w:tcPr>
          <w:p w14:paraId="0610506B">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34024E1B">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3F6E5ECD">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145C490D">
            <w:pPr>
              <w:ind w:firstLine="0" w:firstLineChars="0"/>
              <w:jc w:val="center"/>
              <w:rPr>
                <w:rFonts w:hAnsi="宋体"/>
                <w:color w:val="auto"/>
                <w:sz w:val="21"/>
                <w:szCs w:val="21"/>
                <w:highlight w:val="none"/>
              </w:rPr>
            </w:pPr>
            <w:r>
              <w:rPr>
                <w:rFonts w:cs="Times New Roman"/>
                <w:sz w:val="21"/>
                <w:szCs w:val="21"/>
              </w:rPr>
              <w:t>***</w:t>
            </w:r>
          </w:p>
        </w:tc>
      </w:tr>
      <w:tr w14:paraId="0F6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99" w:type="dxa"/>
            <w:vMerge w:val="continue"/>
            <w:vAlign w:val="center"/>
          </w:tcPr>
          <w:p w14:paraId="759760D2">
            <w:pPr>
              <w:ind w:firstLine="0" w:firstLineChars="0"/>
              <w:jc w:val="center"/>
              <w:rPr>
                <w:b/>
                <w:color w:val="auto"/>
                <w:highlight w:val="none"/>
              </w:rPr>
            </w:pPr>
          </w:p>
        </w:tc>
        <w:tc>
          <w:tcPr>
            <w:tcW w:w="1282" w:type="dxa"/>
            <w:gridSpan w:val="2"/>
            <w:vAlign w:val="center"/>
          </w:tcPr>
          <w:p w14:paraId="5D4E837B">
            <w:pPr>
              <w:ind w:firstLine="0" w:firstLineChars="0"/>
              <w:jc w:val="center"/>
              <w:rPr>
                <w:rFonts w:hAnsi="宋体"/>
                <w:color w:val="auto"/>
                <w:sz w:val="21"/>
                <w:szCs w:val="21"/>
                <w:highlight w:val="none"/>
              </w:rPr>
            </w:pPr>
            <w:r>
              <w:rPr>
                <w:rFonts w:hAnsi="宋体"/>
                <w:color w:val="auto"/>
                <w:sz w:val="21"/>
                <w:szCs w:val="21"/>
                <w:highlight w:val="none"/>
              </w:rPr>
              <w:t>交通运输用地</w:t>
            </w:r>
          </w:p>
        </w:tc>
        <w:tc>
          <w:tcPr>
            <w:tcW w:w="1153" w:type="dxa"/>
            <w:vAlign w:val="center"/>
          </w:tcPr>
          <w:p w14:paraId="5E6C13B4">
            <w:pPr>
              <w:ind w:firstLine="0" w:firstLineChars="0"/>
              <w:jc w:val="center"/>
              <w:rPr>
                <w:rFonts w:hAnsi="宋体"/>
                <w:color w:val="auto"/>
                <w:sz w:val="21"/>
                <w:szCs w:val="21"/>
                <w:highlight w:val="none"/>
              </w:rPr>
            </w:pPr>
            <w:r>
              <w:rPr>
                <w:rFonts w:hAnsi="宋体"/>
                <w:color w:val="auto"/>
                <w:sz w:val="21"/>
                <w:szCs w:val="21"/>
                <w:highlight w:val="none"/>
              </w:rPr>
              <w:t>农村道路</w:t>
            </w:r>
          </w:p>
        </w:tc>
        <w:tc>
          <w:tcPr>
            <w:tcW w:w="1041" w:type="dxa"/>
            <w:vAlign w:val="center"/>
          </w:tcPr>
          <w:p w14:paraId="0052B728">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6103828C">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41F48087">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4F7144E3">
            <w:pPr>
              <w:ind w:firstLine="0" w:firstLineChars="0"/>
              <w:jc w:val="center"/>
              <w:rPr>
                <w:rFonts w:hAnsi="宋体"/>
                <w:color w:val="auto"/>
                <w:sz w:val="21"/>
                <w:szCs w:val="21"/>
                <w:highlight w:val="none"/>
              </w:rPr>
            </w:pPr>
            <w:r>
              <w:rPr>
                <w:rFonts w:cs="Times New Roman"/>
                <w:sz w:val="21"/>
                <w:szCs w:val="21"/>
              </w:rPr>
              <w:t>***</w:t>
            </w:r>
          </w:p>
        </w:tc>
      </w:tr>
      <w:tr w14:paraId="4F94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99" w:type="dxa"/>
            <w:vMerge w:val="continue"/>
            <w:vAlign w:val="center"/>
          </w:tcPr>
          <w:p w14:paraId="65C2668C">
            <w:pPr>
              <w:ind w:firstLine="0" w:firstLineChars="0"/>
              <w:jc w:val="center"/>
              <w:rPr>
                <w:b/>
                <w:color w:val="auto"/>
                <w:highlight w:val="none"/>
              </w:rPr>
            </w:pPr>
          </w:p>
        </w:tc>
        <w:tc>
          <w:tcPr>
            <w:tcW w:w="1282" w:type="dxa"/>
            <w:gridSpan w:val="2"/>
            <w:vAlign w:val="center"/>
          </w:tcPr>
          <w:p w14:paraId="245283C9">
            <w:pPr>
              <w:spacing w:line="240" w:lineRule="auto"/>
              <w:ind w:left="0" w:leftChars="0" w:firstLine="0" w:firstLineChars="0"/>
              <w:jc w:val="both"/>
              <w:rPr>
                <w:rFonts w:hAnsi="宋体"/>
                <w:color w:val="auto"/>
                <w:sz w:val="21"/>
                <w:szCs w:val="21"/>
                <w:highlight w:val="none"/>
              </w:rPr>
            </w:pPr>
            <w:r>
              <w:rPr>
                <w:rFonts w:hint="eastAsia" w:cs="Times New Roman"/>
                <w:b w:val="0"/>
                <w:bCs w:val="0"/>
                <w:color w:val="auto"/>
                <w:szCs w:val="21"/>
                <w:highlight w:val="none"/>
                <w:lang w:val="en-US" w:eastAsia="zh-CN"/>
              </w:rPr>
              <w:t>草地</w:t>
            </w:r>
          </w:p>
        </w:tc>
        <w:tc>
          <w:tcPr>
            <w:tcW w:w="1153" w:type="dxa"/>
            <w:vAlign w:val="center"/>
          </w:tcPr>
          <w:p w14:paraId="04452A77">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eastAsia="zh-CN"/>
              </w:rPr>
              <w:t>其他草地</w:t>
            </w:r>
          </w:p>
        </w:tc>
        <w:tc>
          <w:tcPr>
            <w:tcW w:w="1041" w:type="dxa"/>
            <w:vAlign w:val="center"/>
          </w:tcPr>
          <w:p w14:paraId="2A48E20A">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13767D42">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40DA75CA">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4E865EEA">
            <w:pPr>
              <w:ind w:firstLine="0" w:firstLineChars="0"/>
              <w:jc w:val="center"/>
              <w:rPr>
                <w:rFonts w:hAnsi="宋体"/>
                <w:color w:val="auto"/>
                <w:sz w:val="21"/>
                <w:szCs w:val="21"/>
                <w:highlight w:val="none"/>
              </w:rPr>
            </w:pPr>
            <w:r>
              <w:rPr>
                <w:rFonts w:cs="Times New Roman"/>
                <w:sz w:val="21"/>
                <w:szCs w:val="21"/>
              </w:rPr>
              <w:t>***</w:t>
            </w:r>
          </w:p>
        </w:tc>
      </w:tr>
      <w:tr w14:paraId="4471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361454C6">
            <w:pPr>
              <w:ind w:firstLine="0" w:firstLineChars="0"/>
              <w:jc w:val="center"/>
              <w:rPr>
                <w:b/>
                <w:color w:val="auto"/>
                <w:highlight w:val="none"/>
              </w:rPr>
            </w:pPr>
          </w:p>
        </w:tc>
        <w:tc>
          <w:tcPr>
            <w:tcW w:w="1282" w:type="dxa"/>
            <w:gridSpan w:val="2"/>
            <w:vAlign w:val="center"/>
          </w:tcPr>
          <w:p w14:paraId="2AEBC562">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rPr>
              <w:t>其它土地</w:t>
            </w:r>
          </w:p>
        </w:tc>
        <w:tc>
          <w:tcPr>
            <w:tcW w:w="1153" w:type="dxa"/>
            <w:vAlign w:val="center"/>
          </w:tcPr>
          <w:p w14:paraId="5F616E37">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rPr>
              <w:t>田坎</w:t>
            </w:r>
          </w:p>
        </w:tc>
        <w:tc>
          <w:tcPr>
            <w:tcW w:w="1041" w:type="dxa"/>
            <w:vAlign w:val="center"/>
          </w:tcPr>
          <w:p w14:paraId="062477C1">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072C406F">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11237CBA">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484F86D5">
            <w:pPr>
              <w:ind w:firstLine="0" w:firstLineChars="0"/>
              <w:jc w:val="center"/>
              <w:rPr>
                <w:rFonts w:hAnsi="宋体"/>
                <w:color w:val="auto"/>
                <w:sz w:val="21"/>
                <w:szCs w:val="21"/>
                <w:highlight w:val="none"/>
              </w:rPr>
            </w:pPr>
            <w:r>
              <w:rPr>
                <w:rFonts w:cs="Times New Roman"/>
                <w:sz w:val="21"/>
                <w:szCs w:val="21"/>
              </w:rPr>
              <w:t>***</w:t>
            </w:r>
          </w:p>
        </w:tc>
      </w:tr>
      <w:tr w14:paraId="02F1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9934613">
            <w:pPr>
              <w:ind w:firstLine="0" w:firstLineChars="0"/>
              <w:jc w:val="center"/>
              <w:rPr>
                <w:b/>
                <w:color w:val="auto"/>
                <w:highlight w:val="none"/>
              </w:rPr>
            </w:pPr>
          </w:p>
        </w:tc>
        <w:tc>
          <w:tcPr>
            <w:tcW w:w="2435" w:type="dxa"/>
            <w:gridSpan w:val="3"/>
            <w:vAlign w:val="center"/>
          </w:tcPr>
          <w:p w14:paraId="48CB1954">
            <w:pPr>
              <w:ind w:firstLine="0" w:firstLineChars="0"/>
              <w:jc w:val="center"/>
              <w:rPr>
                <w:rFonts w:hAnsi="宋体"/>
                <w:color w:val="auto"/>
                <w:sz w:val="21"/>
                <w:szCs w:val="21"/>
                <w:highlight w:val="none"/>
              </w:rPr>
            </w:pPr>
            <w:r>
              <w:rPr>
                <w:rFonts w:hAnsi="宋体"/>
                <w:color w:val="auto"/>
                <w:sz w:val="21"/>
                <w:szCs w:val="21"/>
                <w:highlight w:val="none"/>
              </w:rPr>
              <w:t>合  计</w:t>
            </w:r>
          </w:p>
        </w:tc>
        <w:tc>
          <w:tcPr>
            <w:tcW w:w="1041" w:type="dxa"/>
            <w:vAlign w:val="center"/>
          </w:tcPr>
          <w:p w14:paraId="54632EE0">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093" w:type="dxa"/>
            <w:gridSpan w:val="2"/>
            <w:vAlign w:val="center"/>
          </w:tcPr>
          <w:p w14:paraId="53E44F31">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249" w:type="dxa"/>
            <w:vAlign w:val="center"/>
          </w:tcPr>
          <w:p w14:paraId="1BA9402F">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A544A85">
            <w:pPr>
              <w:ind w:firstLine="0" w:firstLineChars="0"/>
              <w:jc w:val="center"/>
              <w:rPr>
                <w:rFonts w:hAnsi="宋体"/>
                <w:color w:val="auto"/>
                <w:sz w:val="21"/>
                <w:szCs w:val="21"/>
                <w:highlight w:val="none"/>
              </w:rPr>
            </w:pPr>
            <w:r>
              <w:rPr>
                <w:rFonts w:hAnsi="宋体"/>
                <w:color w:val="auto"/>
                <w:sz w:val="21"/>
                <w:szCs w:val="21"/>
                <w:highlight w:val="none"/>
              </w:rPr>
              <w:t>-</w:t>
            </w:r>
          </w:p>
        </w:tc>
      </w:tr>
      <w:tr w14:paraId="5AF3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1485862F">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复垦责任范围内土地损毁及占用面积</w:t>
            </w:r>
          </w:p>
        </w:tc>
        <w:tc>
          <w:tcPr>
            <w:tcW w:w="2435" w:type="dxa"/>
            <w:gridSpan w:val="3"/>
            <w:vMerge w:val="restart"/>
            <w:vAlign w:val="center"/>
          </w:tcPr>
          <w:p w14:paraId="22450AFB">
            <w:pPr>
              <w:ind w:firstLine="0" w:firstLineChars="0"/>
              <w:jc w:val="center"/>
              <w:rPr>
                <w:rFonts w:hAnsi="宋体"/>
                <w:color w:val="auto"/>
                <w:sz w:val="21"/>
                <w:szCs w:val="21"/>
                <w:highlight w:val="none"/>
              </w:rPr>
            </w:pPr>
            <w:r>
              <w:rPr>
                <w:rFonts w:hAnsi="宋体"/>
                <w:color w:val="auto"/>
                <w:sz w:val="21"/>
                <w:szCs w:val="21"/>
                <w:highlight w:val="none"/>
              </w:rPr>
              <w:t>类型</w:t>
            </w:r>
          </w:p>
        </w:tc>
        <w:tc>
          <w:tcPr>
            <w:tcW w:w="4944" w:type="dxa"/>
            <w:gridSpan w:val="5"/>
            <w:vAlign w:val="center"/>
          </w:tcPr>
          <w:p w14:paraId="4E3ADFE6">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7AD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B01C552">
            <w:pPr>
              <w:ind w:firstLine="0" w:firstLineChars="0"/>
              <w:jc w:val="center"/>
              <w:rPr>
                <w:b/>
                <w:color w:val="auto"/>
                <w:highlight w:val="none"/>
              </w:rPr>
            </w:pPr>
          </w:p>
        </w:tc>
        <w:tc>
          <w:tcPr>
            <w:tcW w:w="2435" w:type="dxa"/>
            <w:gridSpan w:val="3"/>
            <w:vMerge w:val="continue"/>
            <w:vAlign w:val="center"/>
          </w:tcPr>
          <w:p w14:paraId="797149BD">
            <w:pPr>
              <w:ind w:firstLine="0" w:firstLineChars="0"/>
              <w:jc w:val="center"/>
              <w:rPr>
                <w:rFonts w:hAnsi="宋体"/>
                <w:color w:val="auto"/>
                <w:sz w:val="21"/>
                <w:szCs w:val="21"/>
                <w:highlight w:val="none"/>
              </w:rPr>
            </w:pPr>
          </w:p>
        </w:tc>
        <w:tc>
          <w:tcPr>
            <w:tcW w:w="1670" w:type="dxa"/>
            <w:gridSpan w:val="2"/>
            <w:vAlign w:val="center"/>
          </w:tcPr>
          <w:p w14:paraId="58306757">
            <w:pPr>
              <w:ind w:firstLine="0" w:firstLineChars="0"/>
              <w:jc w:val="center"/>
              <w:rPr>
                <w:rFonts w:hAnsi="宋体"/>
                <w:color w:val="auto"/>
                <w:sz w:val="21"/>
                <w:szCs w:val="21"/>
                <w:highlight w:val="none"/>
              </w:rPr>
            </w:pPr>
            <w:r>
              <w:rPr>
                <w:rFonts w:hAnsi="宋体"/>
                <w:color w:val="auto"/>
                <w:sz w:val="21"/>
                <w:szCs w:val="21"/>
                <w:highlight w:val="none"/>
              </w:rPr>
              <w:t>小计</w:t>
            </w:r>
          </w:p>
        </w:tc>
        <w:tc>
          <w:tcPr>
            <w:tcW w:w="1713" w:type="dxa"/>
            <w:gridSpan w:val="2"/>
            <w:vAlign w:val="center"/>
          </w:tcPr>
          <w:p w14:paraId="0A4B94AD">
            <w:pPr>
              <w:ind w:firstLine="0" w:firstLineChars="0"/>
              <w:jc w:val="center"/>
              <w:rPr>
                <w:rFonts w:hAnsi="宋体"/>
                <w:color w:val="auto"/>
                <w:sz w:val="21"/>
                <w:szCs w:val="21"/>
                <w:highlight w:val="none"/>
              </w:rPr>
            </w:pPr>
            <w:r>
              <w:rPr>
                <w:rFonts w:hAnsi="宋体"/>
                <w:color w:val="auto"/>
                <w:sz w:val="21"/>
                <w:szCs w:val="21"/>
                <w:highlight w:val="none"/>
              </w:rPr>
              <w:t>已损毁或占用</w:t>
            </w:r>
          </w:p>
        </w:tc>
        <w:tc>
          <w:tcPr>
            <w:tcW w:w="1561" w:type="dxa"/>
            <w:vAlign w:val="center"/>
          </w:tcPr>
          <w:p w14:paraId="5500B608">
            <w:pPr>
              <w:ind w:firstLine="0" w:firstLineChars="0"/>
              <w:jc w:val="center"/>
              <w:rPr>
                <w:rFonts w:hAnsi="宋体"/>
                <w:color w:val="auto"/>
                <w:sz w:val="21"/>
                <w:szCs w:val="21"/>
                <w:highlight w:val="none"/>
              </w:rPr>
            </w:pPr>
            <w:r>
              <w:rPr>
                <w:rFonts w:hAnsi="宋体"/>
                <w:color w:val="auto"/>
                <w:sz w:val="21"/>
                <w:szCs w:val="21"/>
                <w:highlight w:val="none"/>
              </w:rPr>
              <w:t>拟损毁或占用</w:t>
            </w:r>
          </w:p>
        </w:tc>
      </w:tr>
      <w:tr w14:paraId="7D81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67D65795">
            <w:pPr>
              <w:ind w:firstLine="0" w:firstLineChars="0"/>
              <w:jc w:val="center"/>
              <w:rPr>
                <w:b/>
                <w:color w:val="auto"/>
                <w:highlight w:val="none"/>
              </w:rPr>
            </w:pPr>
          </w:p>
        </w:tc>
        <w:tc>
          <w:tcPr>
            <w:tcW w:w="1171" w:type="dxa"/>
            <w:vMerge w:val="restart"/>
            <w:vAlign w:val="center"/>
          </w:tcPr>
          <w:p w14:paraId="7F935D6F">
            <w:pPr>
              <w:ind w:firstLine="0" w:firstLineChars="0"/>
              <w:jc w:val="center"/>
              <w:rPr>
                <w:rFonts w:hAnsi="宋体"/>
                <w:color w:val="auto"/>
                <w:sz w:val="21"/>
                <w:szCs w:val="21"/>
                <w:highlight w:val="none"/>
              </w:rPr>
            </w:pPr>
            <w:r>
              <w:rPr>
                <w:rFonts w:hAnsi="宋体"/>
                <w:color w:val="auto"/>
                <w:sz w:val="21"/>
                <w:szCs w:val="21"/>
                <w:highlight w:val="none"/>
              </w:rPr>
              <w:t>损毁</w:t>
            </w:r>
          </w:p>
        </w:tc>
        <w:tc>
          <w:tcPr>
            <w:tcW w:w="1264" w:type="dxa"/>
            <w:gridSpan w:val="2"/>
            <w:vAlign w:val="center"/>
          </w:tcPr>
          <w:p w14:paraId="40140ABC">
            <w:pPr>
              <w:ind w:firstLine="0" w:firstLineChars="0"/>
              <w:jc w:val="center"/>
              <w:rPr>
                <w:rFonts w:hAnsi="宋体"/>
                <w:color w:val="auto"/>
                <w:sz w:val="21"/>
                <w:szCs w:val="21"/>
                <w:highlight w:val="none"/>
              </w:rPr>
            </w:pPr>
            <w:r>
              <w:rPr>
                <w:rFonts w:hAnsi="宋体"/>
                <w:color w:val="auto"/>
                <w:sz w:val="21"/>
                <w:szCs w:val="21"/>
                <w:highlight w:val="none"/>
              </w:rPr>
              <w:t>挖  损</w:t>
            </w:r>
          </w:p>
        </w:tc>
        <w:tc>
          <w:tcPr>
            <w:tcW w:w="1670" w:type="dxa"/>
            <w:gridSpan w:val="2"/>
            <w:vAlign w:val="center"/>
          </w:tcPr>
          <w:p w14:paraId="452B8204">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2.6114 </w:t>
            </w:r>
          </w:p>
        </w:tc>
        <w:tc>
          <w:tcPr>
            <w:tcW w:w="1713" w:type="dxa"/>
            <w:gridSpan w:val="2"/>
            <w:vAlign w:val="center"/>
          </w:tcPr>
          <w:p w14:paraId="5044B5A2">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2.6114 </w:t>
            </w:r>
          </w:p>
        </w:tc>
        <w:tc>
          <w:tcPr>
            <w:tcW w:w="1561" w:type="dxa"/>
            <w:vAlign w:val="center"/>
          </w:tcPr>
          <w:p w14:paraId="403F2B77">
            <w:pPr>
              <w:ind w:firstLine="0" w:firstLineChars="0"/>
              <w:jc w:val="center"/>
              <w:rPr>
                <w:rFonts w:hAnsi="宋体"/>
                <w:color w:val="auto"/>
                <w:sz w:val="21"/>
                <w:szCs w:val="21"/>
                <w:highlight w:val="none"/>
              </w:rPr>
            </w:pPr>
            <w:r>
              <w:rPr>
                <w:rFonts w:hAnsi="宋体"/>
                <w:color w:val="auto"/>
                <w:sz w:val="21"/>
                <w:szCs w:val="21"/>
                <w:highlight w:val="none"/>
              </w:rPr>
              <w:t>-</w:t>
            </w:r>
          </w:p>
        </w:tc>
      </w:tr>
      <w:tr w14:paraId="57E4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7667C83">
            <w:pPr>
              <w:ind w:firstLine="0" w:firstLineChars="0"/>
              <w:jc w:val="center"/>
              <w:rPr>
                <w:b/>
                <w:color w:val="auto"/>
                <w:highlight w:val="none"/>
              </w:rPr>
            </w:pPr>
          </w:p>
        </w:tc>
        <w:tc>
          <w:tcPr>
            <w:tcW w:w="1171" w:type="dxa"/>
            <w:vMerge w:val="continue"/>
            <w:vAlign w:val="center"/>
          </w:tcPr>
          <w:p w14:paraId="245D9B21">
            <w:pPr>
              <w:ind w:firstLine="0" w:firstLineChars="0"/>
              <w:jc w:val="center"/>
              <w:rPr>
                <w:rFonts w:hAnsi="宋体"/>
                <w:color w:val="auto"/>
                <w:sz w:val="21"/>
                <w:szCs w:val="21"/>
                <w:highlight w:val="none"/>
              </w:rPr>
            </w:pPr>
          </w:p>
        </w:tc>
        <w:tc>
          <w:tcPr>
            <w:tcW w:w="1264" w:type="dxa"/>
            <w:gridSpan w:val="2"/>
            <w:vAlign w:val="center"/>
          </w:tcPr>
          <w:p w14:paraId="24366B56">
            <w:pPr>
              <w:ind w:firstLine="0" w:firstLineChars="0"/>
              <w:jc w:val="center"/>
              <w:rPr>
                <w:rFonts w:hAnsi="宋体"/>
                <w:color w:val="auto"/>
                <w:sz w:val="21"/>
                <w:szCs w:val="21"/>
                <w:highlight w:val="none"/>
              </w:rPr>
            </w:pPr>
            <w:r>
              <w:rPr>
                <w:rFonts w:hAnsi="宋体"/>
                <w:color w:val="auto"/>
                <w:sz w:val="21"/>
                <w:szCs w:val="21"/>
                <w:highlight w:val="none"/>
              </w:rPr>
              <w:t>塌  陷</w:t>
            </w:r>
          </w:p>
        </w:tc>
        <w:tc>
          <w:tcPr>
            <w:tcW w:w="1670" w:type="dxa"/>
            <w:gridSpan w:val="2"/>
            <w:vAlign w:val="center"/>
          </w:tcPr>
          <w:p w14:paraId="3D923B3F">
            <w:pPr>
              <w:ind w:firstLine="0" w:firstLineChars="0"/>
              <w:jc w:val="center"/>
              <w:rPr>
                <w:rFonts w:hAnsi="宋体"/>
                <w:color w:val="auto"/>
                <w:sz w:val="21"/>
                <w:szCs w:val="21"/>
                <w:highlight w:val="none"/>
              </w:rPr>
            </w:pPr>
            <w:r>
              <w:rPr>
                <w:rFonts w:hAnsi="宋体"/>
                <w:color w:val="auto"/>
                <w:sz w:val="21"/>
                <w:szCs w:val="21"/>
                <w:highlight w:val="none"/>
              </w:rPr>
              <w:t>-</w:t>
            </w:r>
          </w:p>
        </w:tc>
        <w:tc>
          <w:tcPr>
            <w:tcW w:w="1713" w:type="dxa"/>
            <w:gridSpan w:val="2"/>
            <w:vAlign w:val="center"/>
          </w:tcPr>
          <w:p w14:paraId="0BCF87BE">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A6FE495">
            <w:pPr>
              <w:ind w:firstLine="0" w:firstLineChars="0"/>
              <w:jc w:val="center"/>
              <w:rPr>
                <w:rFonts w:hAnsi="宋体"/>
                <w:color w:val="auto"/>
                <w:sz w:val="21"/>
                <w:szCs w:val="21"/>
                <w:highlight w:val="none"/>
              </w:rPr>
            </w:pPr>
            <w:r>
              <w:rPr>
                <w:rFonts w:hAnsi="宋体"/>
                <w:color w:val="auto"/>
                <w:sz w:val="21"/>
                <w:szCs w:val="21"/>
                <w:highlight w:val="none"/>
              </w:rPr>
              <w:t>-</w:t>
            </w:r>
          </w:p>
        </w:tc>
      </w:tr>
      <w:tr w14:paraId="2C81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502DD12">
            <w:pPr>
              <w:ind w:firstLine="0" w:firstLineChars="0"/>
              <w:jc w:val="center"/>
              <w:rPr>
                <w:b/>
                <w:color w:val="auto"/>
                <w:highlight w:val="none"/>
              </w:rPr>
            </w:pPr>
          </w:p>
        </w:tc>
        <w:tc>
          <w:tcPr>
            <w:tcW w:w="1171" w:type="dxa"/>
            <w:vMerge w:val="continue"/>
            <w:vAlign w:val="center"/>
          </w:tcPr>
          <w:p w14:paraId="0AFADE27">
            <w:pPr>
              <w:ind w:firstLine="0" w:firstLineChars="0"/>
              <w:jc w:val="center"/>
              <w:rPr>
                <w:rFonts w:hAnsi="宋体"/>
                <w:color w:val="auto"/>
                <w:sz w:val="21"/>
                <w:szCs w:val="21"/>
                <w:highlight w:val="none"/>
              </w:rPr>
            </w:pPr>
          </w:p>
        </w:tc>
        <w:tc>
          <w:tcPr>
            <w:tcW w:w="1264" w:type="dxa"/>
            <w:gridSpan w:val="2"/>
            <w:vAlign w:val="center"/>
          </w:tcPr>
          <w:p w14:paraId="642745A4">
            <w:pPr>
              <w:ind w:firstLine="0" w:firstLineChars="0"/>
              <w:jc w:val="center"/>
              <w:rPr>
                <w:rFonts w:hAnsi="宋体"/>
                <w:color w:val="auto"/>
                <w:sz w:val="21"/>
                <w:szCs w:val="21"/>
                <w:highlight w:val="none"/>
              </w:rPr>
            </w:pPr>
            <w:r>
              <w:rPr>
                <w:rFonts w:hAnsi="宋体"/>
                <w:color w:val="auto"/>
                <w:sz w:val="21"/>
                <w:szCs w:val="21"/>
                <w:highlight w:val="none"/>
              </w:rPr>
              <w:t>压  占</w:t>
            </w:r>
          </w:p>
        </w:tc>
        <w:tc>
          <w:tcPr>
            <w:tcW w:w="1670" w:type="dxa"/>
            <w:gridSpan w:val="2"/>
            <w:vAlign w:val="center"/>
          </w:tcPr>
          <w:p w14:paraId="15A1B45B">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val="en-US" w:eastAsia="zh-CN"/>
              </w:rPr>
              <w:t>3.2349</w:t>
            </w:r>
            <w:r>
              <w:rPr>
                <w:rFonts w:hint="default" w:ascii="Times New Roman" w:hAnsi="Times New Roman" w:eastAsia="FangSong_GB2312" w:cs="Times New Roman"/>
                <w:b w:val="0"/>
                <w:bCs w:val="0"/>
                <w:color w:val="auto"/>
                <w:szCs w:val="21"/>
                <w:highlight w:val="none"/>
                <w:lang w:val="en-US" w:eastAsia="zh-CN"/>
              </w:rPr>
              <w:t xml:space="preserve"> </w:t>
            </w:r>
          </w:p>
        </w:tc>
        <w:tc>
          <w:tcPr>
            <w:tcW w:w="1713" w:type="dxa"/>
            <w:gridSpan w:val="2"/>
            <w:vAlign w:val="center"/>
          </w:tcPr>
          <w:p w14:paraId="653CEB0D">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val="en-US" w:eastAsia="zh-CN"/>
              </w:rPr>
              <w:t>3.2349</w:t>
            </w:r>
            <w:r>
              <w:rPr>
                <w:rFonts w:hint="default" w:ascii="Times New Roman" w:hAnsi="Times New Roman" w:eastAsia="FangSong_GB2312" w:cs="Times New Roman"/>
                <w:b w:val="0"/>
                <w:bCs w:val="0"/>
                <w:color w:val="auto"/>
                <w:szCs w:val="21"/>
                <w:highlight w:val="none"/>
                <w:lang w:val="en-US" w:eastAsia="zh-CN"/>
              </w:rPr>
              <w:t xml:space="preserve"> </w:t>
            </w:r>
          </w:p>
        </w:tc>
        <w:tc>
          <w:tcPr>
            <w:tcW w:w="1561" w:type="dxa"/>
            <w:vAlign w:val="center"/>
          </w:tcPr>
          <w:p w14:paraId="43324FBA">
            <w:pPr>
              <w:ind w:firstLine="0" w:firstLineChars="0"/>
              <w:jc w:val="center"/>
              <w:rPr>
                <w:rFonts w:hAnsi="宋体"/>
                <w:color w:val="auto"/>
                <w:sz w:val="21"/>
                <w:szCs w:val="21"/>
                <w:highlight w:val="none"/>
              </w:rPr>
            </w:pPr>
            <w:r>
              <w:rPr>
                <w:rFonts w:hAnsi="宋体"/>
                <w:color w:val="auto"/>
                <w:sz w:val="21"/>
                <w:szCs w:val="21"/>
                <w:highlight w:val="none"/>
              </w:rPr>
              <w:t>-</w:t>
            </w:r>
          </w:p>
        </w:tc>
      </w:tr>
      <w:tr w14:paraId="164C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65864D5">
            <w:pPr>
              <w:ind w:firstLine="0" w:firstLineChars="0"/>
              <w:jc w:val="center"/>
              <w:rPr>
                <w:b/>
                <w:color w:val="auto"/>
                <w:highlight w:val="none"/>
              </w:rPr>
            </w:pPr>
          </w:p>
        </w:tc>
        <w:tc>
          <w:tcPr>
            <w:tcW w:w="1171" w:type="dxa"/>
            <w:vMerge w:val="continue"/>
            <w:vAlign w:val="center"/>
          </w:tcPr>
          <w:p w14:paraId="7F18F97B">
            <w:pPr>
              <w:ind w:firstLine="0" w:firstLineChars="0"/>
              <w:jc w:val="center"/>
              <w:rPr>
                <w:rFonts w:hAnsi="宋体"/>
                <w:color w:val="auto"/>
                <w:sz w:val="21"/>
                <w:szCs w:val="21"/>
                <w:highlight w:val="none"/>
              </w:rPr>
            </w:pPr>
          </w:p>
        </w:tc>
        <w:tc>
          <w:tcPr>
            <w:tcW w:w="1264" w:type="dxa"/>
            <w:gridSpan w:val="2"/>
            <w:vAlign w:val="center"/>
          </w:tcPr>
          <w:p w14:paraId="214D2385">
            <w:pPr>
              <w:ind w:firstLine="0" w:firstLineChars="0"/>
              <w:jc w:val="center"/>
              <w:rPr>
                <w:rFonts w:hAnsi="宋体"/>
                <w:color w:val="auto"/>
                <w:sz w:val="21"/>
                <w:szCs w:val="21"/>
                <w:highlight w:val="none"/>
              </w:rPr>
            </w:pPr>
            <w:r>
              <w:rPr>
                <w:rFonts w:hAnsi="宋体"/>
                <w:color w:val="auto"/>
                <w:sz w:val="21"/>
                <w:szCs w:val="21"/>
                <w:highlight w:val="none"/>
              </w:rPr>
              <w:t>污  染</w:t>
            </w:r>
          </w:p>
        </w:tc>
        <w:tc>
          <w:tcPr>
            <w:tcW w:w="1670" w:type="dxa"/>
            <w:gridSpan w:val="2"/>
            <w:vAlign w:val="center"/>
          </w:tcPr>
          <w:p w14:paraId="29A22C89">
            <w:pPr>
              <w:ind w:firstLine="0" w:firstLineChars="0"/>
              <w:jc w:val="center"/>
              <w:rPr>
                <w:rFonts w:hAnsi="宋体"/>
                <w:color w:val="auto"/>
                <w:sz w:val="21"/>
                <w:szCs w:val="21"/>
                <w:highlight w:val="none"/>
              </w:rPr>
            </w:pPr>
            <w:r>
              <w:rPr>
                <w:rFonts w:hAnsi="宋体"/>
                <w:color w:val="auto"/>
                <w:sz w:val="21"/>
                <w:szCs w:val="21"/>
                <w:highlight w:val="none"/>
              </w:rPr>
              <w:t>-</w:t>
            </w:r>
          </w:p>
        </w:tc>
        <w:tc>
          <w:tcPr>
            <w:tcW w:w="1713" w:type="dxa"/>
            <w:gridSpan w:val="2"/>
            <w:vAlign w:val="center"/>
          </w:tcPr>
          <w:p w14:paraId="4FBB0633">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378929DA">
            <w:pPr>
              <w:ind w:firstLine="0" w:firstLineChars="0"/>
              <w:jc w:val="center"/>
              <w:rPr>
                <w:rFonts w:hAnsi="宋体"/>
                <w:color w:val="auto"/>
                <w:sz w:val="21"/>
                <w:szCs w:val="21"/>
                <w:highlight w:val="none"/>
              </w:rPr>
            </w:pPr>
            <w:r>
              <w:rPr>
                <w:rFonts w:hAnsi="宋体"/>
                <w:color w:val="auto"/>
                <w:sz w:val="21"/>
                <w:szCs w:val="21"/>
                <w:highlight w:val="none"/>
              </w:rPr>
              <w:t>-</w:t>
            </w:r>
          </w:p>
        </w:tc>
      </w:tr>
      <w:tr w14:paraId="43C9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610054E3">
            <w:pPr>
              <w:ind w:firstLine="0" w:firstLineChars="0"/>
              <w:jc w:val="center"/>
              <w:rPr>
                <w:b/>
                <w:color w:val="auto"/>
                <w:highlight w:val="none"/>
              </w:rPr>
            </w:pPr>
          </w:p>
        </w:tc>
        <w:tc>
          <w:tcPr>
            <w:tcW w:w="1171" w:type="dxa"/>
            <w:vMerge w:val="continue"/>
            <w:vAlign w:val="center"/>
          </w:tcPr>
          <w:p w14:paraId="47D1E689">
            <w:pPr>
              <w:ind w:firstLine="0" w:firstLineChars="0"/>
              <w:jc w:val="center"/>
              <w:rPr>
                <w:rFonts w:hAnsi="宋体"/>
                <w:color w:val="auto"/>
                <w:sz w:val="21"/>
                <w:szCs w:val="21"/>
                <w:highlight w:val="none"/>
              </w:rPr>
            </w:pPr>
          </w:p>
        </w:tc>
        <w:tc>
          <w:tcPr>
            <w:tcW w:w="1264" w:type="dxa"/>
            <w:gridSpan w:val="2"/>
            <w:vAlign w:val="center"/>
          </w:tcPr>
          <w:p w14:paraId="19FA8B30">
            <w:pPr>
              <w:ind w:firstLine="0" w:firstLineChars="0"/>
              <w:jc w:val="center"/>
              <w:rPr>
                <w:rFonts w:hAnsi="宋体"/>
                <w:color w:val="auto"/>
                <w:sz w:val="21"/>
                <w:szCs w:val="21"/>
                <w:highlight w:val="none"/>
              </w:rPr>
            </w:pPr>
            <w:r>
              <w:rPr>
                <w:rFonts w:hAnsi="宋体"/>
                <w:color w:val="auto"/>
                <w:sz w:val="21"/>
                <w:szCs w:val="21"/>
                <w:highlight w:val="none"/>
              </w:rPr>
              <w:t>小  计</w:t>
            </w:r>
          </w:p>
        </w:tc>
        <w:tc>
          <w:tcPr>
            <w:tcW w:w="1670" w:type="dxa"/>
            <w:gridSpan w:val="2"/>
            <w:vAlign w:val="center"/>
          </w:tcPr>
          <w:p w14:paraId="06224566">
            <w:pPr>
              <w:spacing w:line="240" w:lineRule="auto"/>
              <w:ind w:left="0" w:leftChars="0" w:firstLine="0" w:firstLineChars="0"/>
              <w:jc w:val="center"/>
              <w:rPr>
                <w:rFonts w:hint="default" w:ascii="Times New Roman" w:hAnsi="Times New Roman" w:eastAsia="FangSong_GB2312" w:cs="Times New Roman"/>
                <w:b w:val="0"/>
                <w:bCs w:val="0"/>
                <w:color w:val="auto"/>
                <w:kern w:val="2"/>
                <w:sz w:val="24"/>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713" w:type="dxa"/>
            <w:gridSpan w:val="2"/>
            <w:vAlign w:val="center"/>
          </w:tcPr>
          <w:p w14:paraId="6FA8B819">
            <w:pPr>
              <w:spacing w:line="240" w:lineRule="auto"/>
              <w:ind w:left="0" w:leftChars="0" w:firstLine="0" w:firstLineChars="0"/>
              <w:jc w:val="center"/>
              <w:rPr>
                <w:rFonts w:hint="default" w:ascii="Times New Roman" w:hAnsi="Times New Roman" w:eastAsia="FangSong_GB2312" w:cs="Times New Roman"/>
                <w:b w:val="0"/>
                <w:bCs w:val="0"/>
                <w:color w:val="auto"/>
                <w:kern w:val="2"/>
                <w:sz w:val="24"/>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561" w:type="dxa"/>
            <w:vAlign w:val="center"/>
          </w:tcPr>
          <w:p w14:paraId="0E8D9D4C">
            <w:pPr>
              <w:ind w:firstLine="0" w:firstLineChars="0"/>
              <w:jc w:val="center"/>
              <w:rPr>
                <w:rFonts w:hAnsi="宋体"/>
                <w:color w:val="auto"/>
                <w:sz w:val="21"/>
                <w:szCs w:val="21"/>
                <w:highlight w:val="none"/>
              </w:rPr>
            </w:pPr>
            <w:r>
              <w:rPr>
                <w:rFonts w:hAnsi="宋体"/>
                <w:color w:val="auto"/>
                <w:sz w:val="21"/>
                <w:szCs w:val="21"/>
                <w:highlight w:val="none"/>
              </w:rPr>
              <w:t>-</w:t>
            </w:r>
          </w:p>
        </w:tc>
      </w:tr>
      <w:tr w14:paraId="68B8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9D43DF6">
            <w:pPr>
              <w:ind w:firstLine="0" w:firstLineChars="0"/>
              <w:jc w:val="center"/>
              <w:rPr>
                <w:b/>
                <w:color w:val="auto"/>
                <w:highlight w:val="none"/>
              </w:rPr>
            </w:pPr>
          </w:p>
        </w:tc>
        <w:tc>
          <w:tcPr>
            <w:tcW w:w="2435" w:type="dxa"/>
            <w:gridSpan w:val="3"/>
            <w:vAlign w:val="center"/>
          </w:tcPr>
          <w:p w14:paraId="41E42D18">
            <w:pPr>
              <w:ind w:firstLine="0" w:firstLineChars="0"/>
              <w:jc w:val="center"/>
              <w:rPr>
                <w:rFonts w:hAnsi="宋体"/>
                <w:color w:val="auto"/>
                <w:sz w:val="21"/>
                <w:szCs w:val="21"/>
                <w:highlight w:val="none"/>
              </w:rPr>
            </w:pPr>
            <w:r>
              <w:rPr>
                <w:rFonts w:hAnsi="宋体"/>
                <w:color w:val="auto"/>
                <w:sz w:val="21"/>
                <w:szCs w:val="21"/>
                <w:highlight w:val="none"/>
              </w:rPr>
              <w:t>占用</w:t>
            </w:r>
          </w:p>
        </w:tc>
        <w:tc>
          <w:tcPr>
            <w:tcW w:w="1670" w:type="dxa"/>
            <w:gridSpan w:val="2"/>
            <w:vAlign w:val="center"/>
          </w:tcPr>
          <w:p w14:paraId="0A351A29">
            <w:pPr>
              <w:ind w:firstLine="0" w:firstLineChars="0"/>
              <w:jc w:val="center"/>
              <w:rPr>
                <w:rFonts w:hAnsi="宋体"/>
                <w:color w:val="auto"/>
                <w:sz w:val="21"/>
                <w:szCs w:val="21"/>
                <w:highlight w:val="none"/>
              </w:rPr>
            </w:pPr>
          </w:p>
        </w:tc>
        <w:tc>
          <w:tcPr>
            <w:tcW w:w="1713" w:type="dxa"/>
            <w:gridSpan w:val="2"/>
            <w:vAlign w:val="center"/>
          </w:tcPr>
          <w:p w14:paraId="34FDBDA6">
            <w:pPr>
              <w:ind w:firstLine="0" w:firstLineChars="0"/>
              <w:jc w:val="center"/>
              <w:rPr>
                <w:rFonts w:hAnsi="宋体"/>
                <w:color w:val="auto"/>
                <w:sz w:val="21"/>
                <w:szCs w:val="21"/>
                <w:highlight w:val="none"/>
              </w:rPr>
            </w:pPr>
          </w:p>
        </w:tc>
        <w:tc>
          <w:tcPr>
            <w:tcW w:w="1561" w:type="dxa"/>
            <w:vAlign w:val="center"/>
          </w:tcPr>
          <w:p w14:paraId="1D118102">
            <w:pPr>
              <w:ind w:firstLine="0" w:firstLineChars="0"/>
              <w:jc w:val="center"/>
              <w:rPr>
                <w:rFonts w:hAnsi="宋体"/>
                <w:color w:val="auto"/>
                <w:sz w:val="21"/>
                <w:szCs w:val="21"/>
                <w:highlight w:val="none"/>
              </w:rPr>
            </w:pPr>
            <w:r>
              <w:rPr>
                <w:rFonts w:hAnsi="宋体"/>
                <w:color w:val="auto"/>
                <w:sz w:val="21"/>
                <w:szCs w:val="21"/>
                <w:highlight w:val="none"/>
              </w:rPr>
              <w:t>-</w:t>
            </w:r>
          </w:p>
        </w:tc>
      </w:tr>
      <w:tr w14:paraId="041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156B013D">
            <w:pPr>
              <w:ind w:firstLine="0" w:firstLineChars="0"/>
              <w:jc w:val="center"/>
              <w:rPr>
                <w:b/>
                <w:color w:val="auto"/>
                <w:highlight w:val="none"/>
              </w:rPr>
            </w:pPr>
          </w:p>
        </w:tc>
        <w:tc>
          <w:tcPr>
            <w:tcW w:w="2435" w:type="dxa"/>
            <w:gridSpan w:val="3"/>
            <w:vAlign w:val="center"/>
          </w:tcPr>
          <w:p w14:paraId="6D8B3A3E">
            <w:pPr>
              <w:ind w:firstLine="0" w:firstLineChars="0"/>
              <w:jc w:val="center"/>
              <w:rPr>
                <w:rFonts w:hAnsi="宋体"/>
                <w:color w:val="auto"/>
                <w:sz w:val="21"/>
                <w:szCs w:val="21"/>
                <w:highlight w:val="none"/>
              </w:rPr>
            </w:pPr>
            <w:r>
              <w:rPr>
                <w:rFonts w:hAnsi="宋体"/>
                <w:color w:val="auto"/>
                <w:sz w:val="21"/>
                <w:szCs w:val="21"/>
                <w:highlight w:val="none"/>
              </w:rPr>
              <w:t>合计</w:t>
            </w:r>
          </w:p>
        </w:tc>
        <w:tc>
          <w:tcPr>
            <w:tcW w:w="1670" w:type="dxa"/>
            <w:gridSpan w:val="2"/>
            <w:vAlign w:val="center"/>
          </w:tcPr>
          <w:p w14:paraId="2C02D5A0">
            <w:pPr>
              <w:spacing w:line="240" w:lineRule="auto"/>
              <w:ind w:left="0" w:leftChars="0" w:firstLine="0" w:firstLineChars="0"/>
              <w:jc w:val="center"/>
              <w:rPr>
                <w:rFonts w:hint="default" w:ascii="Times New Roman" w:hAnsi="宋体" w:eastAsia="FangSong_GB2312" w:cs="Times New Roman"/>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713" w:type="dxa"/>
            <w:gridSpan w:val="2"/>
            <w:vAlign w:val="center"/>
          </w:tcPr>
          <w:p w14:paraId="351B4309">
            <w:pPr>
              <w:spacing w:line="240" w:lineRule="auto"/>
              <w:ind w:left="0" w:leftChars="0" w:firstLine="0" w:firstLineChars="0"/>
              <w:jc w:val="center"/>
              <w:rPr>
                <w:rFonts w:hint="default" w:ascii="Times New Roman" w:hAnsi="宋体" w:eastAsia="FangSong_GB2312" w:cs="Times New Roman"/>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561" w:type="dxa"/>
            <w:vAlign w:val="center"/>
          </w:tcPr>
          <w:p w14:paraId="2EDEF33C">
            <w:pPr>
              <w:ind w:firstLine="0" w:firstLineChars="0"/>
              <w:jc w:val="center"/>
              <w:rPr>
                <w:rFonts w:hAnsi="宋体"/>
                <w:color w:val="auto"/>
                <w:sz w:val="21"/>
                <w:szCs w:val="21"/>
                <w:highlight w:val="none"/>
              </w:rPr>
            </w:pPr>
            <w:r>
              <w:rPr>
                <w:rFonts w:hAnsi="宋体"/>
                <w:color w:val="auto"/>
                <w:sz w:val="21"/>
                <w:szCs w:val="21"/>
                <w:highlight w:val="none"/>
              </w:rPr>
              <w:t>-</w:t>
            </w:r>
          </w:p>
        </w:tc>
      </w:tr>
      <w:tr w14:paraId="44EB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3CE106D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复</w:t>
            </w:r>
          </w:p>
          <w:p w14:paraId="7160603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垦</w:t>
            </w:r>
          </w:p>
          <w:p w14:paraId="5D14ED3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面</w:t>
            </w:r>
          </w:p>
          <w:p w14:paraId="47F92868">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积</w:t>
            </w:r>
          </w:p>
        </w:tc>
        <w:tc>
          <w:tcPr>
            <w:tcW w:w="2435" w:type="dxa"/>
            <w:gridSpan w:val="3"/>
            <w:vMerge w:val="restart"/>
            <w:vAlign w:val="center"/>
          </w:tcPr>
          <w:p w14:paraId="7894F208">
            <w:pPr>
              <w:ind w:firstLine="0" w:firstLineChars="0"/>
              <w:jc w:val="center"/>
              <w:rPr>
                <w:rFonts w:hAnsi="宋体"/>
                <w:color w:val="auto"/>
                <w:sz w:val="21"/>
                <w:szCs w:val="21"/>
                <w:highlight w:val="none"/>
              </w:rPr>
            </w:pPr>
            <w:r>
              <w:rPr>
                <w:rFonts w:hAnsi="宋体"/>
                <w:color w:val="auto"/>
                <w:sz w:val="21"/>
                <w:szCs w:val="21"/>
                <w:highlight w:val="none"/>
              </w:rPr>
              <w:t>一级地类</w:t>
            </w:r>
          </w:p>
        </w:tc>
        <w:tc>
          <w:tcPr>
            <w:tcW w:w="1670" w:type="dxa"/>
            <w:gridSpan w:val="2"/>
            <w:vMerge w:val="restart"/>
            <w:vAlign w:val="center"/>
          </w:tcPr>
          <w:p w14:paraId="7D830FC5">
            <w:pPr>
              <w:ind w:firstLine="0" w:firstLineChars="0"/>
              <w:jc w:val="center"/>
              <w:rPr>
                <w:rFonts w:hAnsi="宋体"/>
                <w:color w:val="auto"/>
                <w:sz w:val="21"/>
                <w:szCs w:val="21"/>
                <w:highlight w:val="none"/>
              </w:rPr>
            </w:pPr>
            <w:r>
              <w:rPr>
                <w:rFonts w:hAnsi="宋体"/>
                <w:color w:val="auto"/>
                <w:sz w:val="21"/>
                <w:szCs w:val="21"/>
                <w:highlight w:val="none"/>
              </w:rPr>
              <w:t>二级地类</w:t>
            </w:r>
          </w:p>
        </w:tc>
        <w:tc>
          <w:tcPr>
            <w:tcW w:w="3274" w:type="dxa"/>
            <w:gridSpan w:val="3"/>
            <w:vAlign w:val="center"/>
          </w:tcPr>
          <w:p w14:paraId="3EAC7A7A">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1F55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1ECDE2D8">
            <w:pPr>
              <w:ind w:firstLine="0" w:firstLineChars="0"/>
              <w:jc w:val="center"/>
              <w:rPr>
                <w:b/>
                <w:color w:val="auto"/>
                <w:highlight w:val="none"/>
              </w:rPr>
            </w:pPr>
          </w:p>
        </w:tc>
        <w:tc>
          <w:tcPr>
            <w:tcW w:w="2435" w:type="dxa"/>
            <w:gridSpan w:val="3"/>
            <w:vMerge w:val="continue"/>
            <w:vAlign w:val="center"/>
          </w:tcPr>
          <w:p w14:paraId="5C994B17">
            <w:pPr>
              <w:ind w:firstLine="0" w:firstLineChars="0"/>
              <w:jc w:val="center"/>
              <w:rPr>
                <w:rFonts w:hAnsi="宋体"/>
                <w:color w:val="auto"/>
                <w:sz w:val="21"/>
                <w:szCs w:val="21"/>
                <w:highlight w:val="none"/>
              </w:rPr>
            </w:pPr>
          </w:p>
        </w:tc>
        <w:tc>
          <w:tcPr>
            <w:tcW w:w="1670" w:type="dxa"/>
            <w:gridSpan w:val="2"/>
            <w:vMerge w:val="continue"/>
            <w:vAlign w:val="center"/>
          </w:tcPr>
          <w:p w14:paraId="33E507F5">
            <w:pPr>
              <w:ind w:firstLine="0" w:firstLineChars="0"/>
              <w:jc w:val="center"/>
              <w:rPr>
                <w:rFonts w:hAnsi="宋体"/>
                <w:color w:val="auto"/>
                <w:sz w:val="21"/>
                <w:szCs w:val="21"/>
                <w:highlight w:val="none"/>
              </w:rPr>
            </w:pPr>
          </w:p>
        </w:tc>
        <w:tc>
          <w:tcPr>
            <w:tcW w:w="1713" w:type="dxa"/>
            <w:gridSpan w:val="2"/>
            <w:vAlign w:val="center"/>
          </w:tcPr>
          <w:p w14:paraId="2E6201F4">
            <w:pPr>
              <w:ind w:firstLine="0" w:firstLineChars="0"/>
              <w:jc w:val="center"/>
              <w:rPr>
                <w:rFonts w:hAnsi="宋体"/>
                <w:color w:val="auto"/>
                <w:sz w:val="21"/>
                <w:szCs w:val="21"/>
                <w:highlight w:val="none"/>
              </w:rPr>
            </w:pPr>
            <w:r>
              <w:rPr>
                <w:rFonts w:hAnsi="宋体"/>
                <w:color w:val="auto"/>
                <w:sz w:val="21"/>
                <w:szCs w:val="21"/>
                <w:highlight w:val="none"/>
              </w:rPr>
              <w:t>已复垦</w:t>
            </w:r>
          </w:p>
        </w:tc>
        <w:tc>
          <w:tcPr>
            <w:tcW w:w="1561" w:type="dxa"/>
            <w:vAlign w:val="center"/>
          </w:tcPr>
          <w:p w14:paraId="2D25A5B2">
            <w:pPr>
              <w:ind w:firstLine="0" w:firstLineChars="0"/>
              <w:jc w:val="center"/>
              <w:rPr>
                <w:rFonts w:hAnsi="宋体"/>
                <w:color w:val="auto"/>
                <w:sz w:val="21"/>
                <w:szCs w:val="21"/>
                <w:highlight w:val="none"/>
              </w:rPr>
            </w:pPr>
            <w:r>
              <w:rPr>
                <w:rFonts w:hAnsi="宋体"/>
                <w:color w:val="auto"/>
                <w:sz w:val="21"/>
                <w:szCs w:val="21"/>
                <w:highlight w:val="none"/>
              </w:rPr>
              <w:t>拟复垦</w:t>
            </w:r>
          </w:p>
        </w:tc>
      </w:tr>
      <w:tr w14:paraId="584C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41735ED">
            <w:pPr>
              <w:ind w:firstLine="0" w:firstLineChars="0"/>
              <w:jc w:val="center"/>
              <w:rPr>
                <w:b/>
                <w:color w:val="auto"/>
                <w:highlight w:val="none"/>
              </w:rPr>
            </w:pPr>
          </w:p>
        </w:tc>
        <w:tc>
          <w:tcPr>
            <w:tcW w:w="2435" w:type="dxa"/>
            <w:gridSpan w:val="3"/>
            <w:vAlign w:val="center"/>
          </w:tcPr>
          <w:p w14:paraId="22438BC3">
            <w:pPr>
              <w:ind w:firstLine="0" w:firstLineChars="0"/>
              <w:jc w:val="center"/>
              <w:rPr>
                <w:rFonts w:hAnsi="宋体"/>
                <w:color w:val="auto"/>
                <w:sz w:val="21"/>
                <w:szCs w:val="21"/>
                <w:highlight w:val="none"/>
              </w:rPr>
            </w:pPr>
            <w:r>
              <w:rPr>
                <w:rFonts w:hAnsi="宋体"/>
                <w:color w:val="auto"/>
                <w:sz w:val="21"/>
                <w:szCs w:val="21"/>
                <w:highlight w:val="none"/>
              </w:rPr>
              <w:t>耕地</w:t>
            </w:r>
          </w:p>
        </w:tc>
        <w:tc>
          <w:tcPr>
            <w:tcW w:w="1670" w:type="dxa"/>
            <w:gridSpan w:val="2"/>
            <w:vAlign w:val="center"/>
          </w:tcPr>
          <w:p w14:paraId="55006EE7">
            <w:pPr>
              <w:ind w:firstLine="0" w:firstLineChars="0"/>
              <w:jc w:val="center"/>
              <w:rPr>
                <w:rFonts w:hAnsi="宋体"/>
                <w:color w:val="auto"/>
                <w:sz w:val="21"/>
                <w:szCs w:val="21"/>
                <w:highlight w:val="none"/>
              </w:rPr>
            </w:pPr>
            <w:r>
              <w:rPr>
                <w:rFonts w:hAnsi="宋体"/>
                <w:color w:val="auto"/>
                <w:sz w:val="21"/>
                <w:szCs w:val="21"/>
                <w:highlight w:val="none"/>
              </w:rPr>
              <w:t>旱地</w:t>
            </w:r>
          </w:p>
        </w:tc>
        <w:tc>
          <w:tcPr>
            <w:tcW w:w="1713" w:type="dxa"/>
            <w:gridSpan w:val="2"/>
            <w:vAlign w:val="center"/>
          </w:tcPr>
          <w:p w14:paraId="08706A2B">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6E7415ED">
            <w:pPr>
              <w:ind w:firstLine="0" w:firstLineChars="0"/>
              <w:jc w:val="center"/>
              <w:rPr>
                <w:rFonts w:hint="default" w:hAnsi="宋体" w:eastAsia="FangSong_GB2312"/>
                <w:color w:val="auto"/>
                <w:sz w:val="21"/>
                <w:szCs w:val="21"/>
                <w:highlight w:val="none"/>
                <w:lang w:val="en-US" w:eastAsia="zh-CN"/>
              </w:rPr>
            </w:pPr>
            <w:r>
              <w:rPr>
                <w:rFonts w:hint="eastAsia" w:hAnsi="宋体"/>
                <w:color w:val="auto"/>
                <w:sz w:val="21"/>
                <w:szCs w:val="21"/>
                <w:highlight w:val="none"/>
                <w:lang w:val="en-US" w:eastAsia="zh-CN"/>
              </w:rPr>
              <w:t>4.7941</w:t>
            </w:r>
          </w:p>
        </w:tc>
      </w:tr>
      <w:tr w14:paraId="2609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8706442">
            <w:pPr>
              <w:ind w:firstLine="0" w:firstLineChars="0"/>
              <w:jc w:val="center"/>
              <w:rPr>
                <w:b/>
                <w:color w:val="auto"/>
                <w:highlight w:val="none"/>
              </w:rPr>
            </w:pPr>
          </w:p>
        </w:tc>
        <w:tc>
          <w:tcPr>
            <w:tcW w:w="2435" w:type="dxa"/>
            <w:gridSpan w:val="3"/>
            <w:vAlign w:val="center"/>
          </w:tcPr>
          <w:p w14:paraId="2DD54077">
            <w:pPr>
              <w:ind w:firstLine="0" w:firstLineChars="0"/>
              <w:jc w:val="center"/>
              <w:rPr>
                <w:rFonts w:hint="eastAsia" w:hAnsi="宋体" w:eastAsia="FangSong_GB2312"/>
                <w:color w:val="auto"/>
                <w:sz w:val="21"/>
                <w:szCs w:val="21"/>
                <w:highlight w:val="none"/>
                <w:lang w:eastAsia="zh-CN"/>
              </w:rPr>
            </w:pPr>
            <w:r>
              <w:rPr>
                <w:rFonts w:hint="eastAsia" w:hAnsi="宋体"/>
                <w:color w:val="auto"/>
                <w:sz w:val="21"/>
                <w:szCs w:val="21"/>
                <w:highlight w:val="none"/>
                <w:lang w:eastAsia="zh-CN"/>
              </w:rPr>
              <w:t>林地</w:t>
            </w:r>
          </w:p>
        </w:tc>
        <w:tc>
          <w:tcPr>
            <w:tcW w:w="1670" w:type="dxa"/>
            <w:gridSpan w:val="2"/>
            <w:vAlign w:val="center"/>
          </w:tcPr>
          <w:p w14:paraId="032C73AA">
            <w:pPr>
              <w:ind w:firstLine="0" w:firstLineChars="0"/>
              <w:jc w:val="center"/>
              <w:rPr>
                <w:rFonts w:hint="eastAsia" w:hAnsi="宋体" w:eastAsia="FangSong_GB2312"/>
                <w:color w:val="auto"/>
                <w:sz w:val="21"/>
                <w:szCs w:val="21"/>
                <w:highlight w:val="none"/>
                <w:lang w:eastAsia="zh-CN"/>
              </w:rPr>
            </w:pPr>
            <w:r>
              <w:rPr>
                <w:rFonts w:hint="eastAsia" w:hAnsi="宋体"/>
                <w:color w:val="auto"/>
                <w:sz w:val="21"/>
                <w:szCs w:val="21"/>
                <w:highlight w:val="none"/>
                <w:lang w:eastAsia="zh-CN"/>
              </w:rPr>
              <w:t>乔木林地</w:t>
            </w:r>
          </w:p>
        </w:tc>
        <w:tc>
          <w:tcPr>
            <w:tcW w:w="1713" w:type="dxa"/>
            <w:gridSpan w:val="2"/>
            <w:vAlign w:val="center"/>
          </w:tcPr>
          <w:p w14:paraId="72208168">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095B4B27">
            <w:pPr>
              <w:ind w:firstLine="0" w:firstLineChars="0"/>
              <w:jc w:val="center"/>
              <w:rPr>
                <w:rFonts w:hint="default" w:hAnsi="宋体" w:eastAsia="FangSong_GB2312"/>
                <w:color w:val="auto"/>
                <w:sz w:val="21"/>
                <w:szCs w:val="21"/>
                <w:highlight w:val="none"/>
                <w:lang w:val="en-US" w:eastAsia="zh-CN"/>
              </w:rPr>
            </w:pPr>
            <w:r>
              <w:rPr>
                <w:rFonts w:hint="eastAsia" w:hAnsi="宋体"/>
                <w:color w:val="auto"/>
                <w:sz w:val="21"/>
                <w:szCs w:val="21"/>
                <w:highlight w:val="none"/>
                <w:lang w:val="en-US" w:eastAsia="zh-CN"/>
              </w:rPr>
              <w:t>1.3055</w:t>
            </w:r>
          </w:p>
        </w:tc>
      </w:tr>
      <w:tr w14:paraId="459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7CE4CECF">
            <w:pPr>
              <w:ind w:firstLine="0" w:firstLineChars="0"/>
              <w:jc w:val="center"/>
              <w:rPr>
                <w:b/>
                <w:color w:val="auto"/>
                <w:highlight w:val="none"/>
              </w:rPr>
            </w:pPr>
          </w:p>
        </w:tc>
        <w:tc>
          <w:tcPr>
            <w:tcW w:w="2435" w:type="dxa"/>
            <w:gridSpan w:val="3"/>
            <w:vAlign w:val="center"/>
          </w:tcPr>
          <w:p w14:paraId="49E09DBE">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其他土地</w:t>
            </w:r>
          </w:p>
        </w:tc>
        <w:tc>
          <w:tcPr>
            <w:tcW w:w="1670" w:type="dxa"/>
            <w:gridSpan w:val="2"/>
            <w:vAlign w:val="center"/>
          </w:tcPr>
          <w:p w14:paraId="7D3238E5">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田坎</w:t>
            </w:r>
          </w:p>
        </w:tc>
        <w:tc>
          <w:tcPr>
            <w:tcW w:w="1713" w:type="dxa"/>
            <w:gridSpan w:val="2"/>
            <w:vAlign w:val="center"/>
          </w:tcPr>
          <w:p w14:paraId="0ACAD0F6">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C8F8F25">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0.2523</w:t>
            </w:r>
          </w:p>
        </w:tc>
      </w:tr>
      <w:tr w14:paraId="532B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32B89416">
            <w:pPr>
              <w:ind w:firstLine="0" w:firstLineChars="0"/>
              <w:jc w:val="center"/>
              <w:rPr>
                <w:b/>
                <w:color w:val="auto"/>
                <w:highlight w:val="none"/>
              </w:rPr>
            </w:pPr>
          </w:p>
        </w:tc>
        <w:tc>
          <w:tcPr>
            <w:tcW w:w="4105" w:type="dxa"/>
            <w:gridSpan w:val="5"/>
            <w:vAlign w:val="center"/>
          </w:tcPr>
          <w:p w14:paraId="2A521E8E">
            <w:pPr>
              <w:ind w:firstLine="0" w:firstLineChars="0"/>
              <w:jc w:val="center"/>
              <w:rPr>
                <w:rFonts w:hAnsi="宋体"/>
                <w:color w:val="auto"/>
                <w:sz w:val="21"/>
                <w:szCs w:val="21"/>
                <w:highlight w:val="none"/>
              </w:rPr>
            </w:pPr>
            <w:r>
              <w:rPr>
                <w:rFonts w:hAnsi="宋体"/>
                <w:color w:val="auto"/>
                <w:sz w:val="21"/>
                <w:szCs w:val="21"/>
                <w:highlight w:val="none"/>
              </w:rPr>
              <w:t>合    计</w:t>
            </w:r>
          </w:p>
        </w:tc>
        <w:tc>
          <w:tcPr>
            <w:tcW w:w="1713" w:type="dxa"/>
            <w:gridSpan w:val="2"/>
            <w:vAlign w:val="center"/>
          </w:tcPr>
          <w:p w14:paraId="2FCB68BC">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3E630E7F">
            <w:pPr>
              <w:ind w:firstLine="0" w:firstLineChars="0"/>
              <w:jc w:val="center"/>
              <w:rPr>
                <w:rFonts w:hint="default" w:hAnsi="宋体" w:eastAsia="FangSong_GB2312"/>
                <w:color w:val="auto"/>
                <w:sz w:val="21"/>
                <w:szCs w:val="21"/>
                <w:highlight w:val="none"/>
                <w:lang w:val="en-US" w:eastAsia="zh-CN"/>
              </w:rPr>
            </w:pPr>
            <w:r>
              <w:rPr>
                <w:rFonts w:hint="eastAsia" w:cs="Times New Roman"/>
                <w:color w:val="auto"/>
                <w:highlight w:val="none"/>
                <w:lang w:val="en-US" w:eastAsia="zh-CN"/>
              </w:rPr>
              <w:t>6.3519</w:t>
            </w:r>
          </w:p>
        </w:tc>
      </w:tr>
      <w:tr w14:paraId="1A14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99" w:type="dxa"/>
            <w:vMerge w:val="continue"/>
            <w:vAlign w:val="center"/>
          </w:tcPr>
          <w:p w14:paraId="0908F4C7">
            <w:pPr>
              <w:ind w:firstLine="0" w:firstLineChars="0"/>
              <w:jc w:val="center"/>
              <w:rPr>
                <w:b/>
                <w:color w:val="auto"/>
                <w:highlight w:val="none"/>
              </w:rPr>
            </w:pPr>
          </w:p>
        </w:tc>
        <w:tc>
          <w:tcPr>
            <w:tcW w:w="4105" w:type="dxa"/>
            <w:gridSpan w:val="5"/>
            <w:vAlign w:val="center"/>
          </w:tcPr>
          <w:p w14:paraId="1B4B8D5A">
            <w:pPr>
              <w:ind w:firstLine="0" w:firstLineChars="0"/>
              <w:jc w:val="center"/>
              <w:rPr>
                <w:rFonts w:hAnsi="宋体"/>
                <w:color w:val="auto"/>
                <w:sz w:val="21"/>
                <w:szCs w:val="21"/>
                <w:highlight w:val="none"/>
              </w:rPr>
            </w:pPr>
            <w:r>
              <w:rPr>
                <w:rFonts w:hAnsi="宋体"/>
                <w:color w:val="auto"/>
                <w:sz w:val="21"/>
                <w:szCs w:val="21"/>
                <w:highlight w:val="none"/>
              </w:rPr>
              <w:t>土地复垦率（%）</w:t>
            </w:r>
          </w:p>
        </w:tc>
        <w:tc>
          <w:tcPr>
            <w:tcW w:w="3274" w:type="dxa"/>
            <w:gridSpan w:val="3"/>
            <w:vAlign w:val="center"/>
          </w:tcPr>
          <w:p w14:paraId="21135B9D">
            <w:pPr>
              <w:ind w:firstLine="0" w:firstLineChars="0"/>
              <w:jc w:val="center"/>
              <w:rPr>
                <w:rFonts w:hAnsi="宋体"/>
                <w:color w:val="auto"/>
                <w:sz w:val="21"/>
                <w:szCs w:val="21"/>
                <w:highlight w:val="none"/>
              </w:rPr>
            </w:pPr>
            <w:r>
              <w:rPr>
                <w:rFonts w:hint="eastAsia" w:cs="Times New Roman"/>
                <w:color w:val="auto"/>
                <w:highlight w:val="none"/>
                <w:lang w:val="en-US" w:eastAsia="zh-CN"/>
              </w:rPr>
              <w:t>99.43</w:t>
            </w:r>
            <w:r>
              <w:rPr>
                <w:rFonts w:hint="default" w:ascii="Times New Roman" w:hAnsi="Times New Roman" w:cs="Times New Roman"/>
                <w:color w:val="auto"/>
                <w:highlight w:val="none"/>
              </w:rPr>
              <w:t>％</w:t>
            </w:r>
          </w:p>
        </w:tc>
      </w:tr>
    </w:tbl>
    <w:tbl>
      <w:tblPr>
        <w:tblStyle w:val="6"/>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940"/>
      </w:tblGrid>
      <w:tr w14:paraId="5788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3515C6D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D657FB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CFCDD9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D4800B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1F973E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9400E0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492CA3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DB2D5F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5FBB24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AA3B2E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52403E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4B715FE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5C7A6D7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68FD12D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074ACAE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19EB77F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5A186BB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40A6ABD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2DF82E8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63E2712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4E00C1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C35689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A4F087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22386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F51CA4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8C8C93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16DF2F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9F6E8B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7ABD0E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BBFE44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BF4C3C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544FCD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2D52F3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987BB0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49ED56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93211C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556B0D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C4C63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782634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7ED9F70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1037A03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70368BD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538D215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2DC46FE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3C2CECA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00F5EC1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08C165C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0AACDF7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54B66C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6226B6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39886B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CE85FD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083A67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8F9045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07EF55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A81259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39237E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59D111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BF0E7F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46E377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5C8CA5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8DA977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FC8E13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6D1D26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B3FE3F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1A8EAC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71379E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2293FA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11EF91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475B9FB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1DC7023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17AC1BF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74C04C0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149DD4B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51FDE6F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2C7002E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2D6B205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2C9123A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77DF94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79384B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CCD6DA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035A27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04103C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703986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3F35BB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2C2BE8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DBA477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15F04E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35B033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FD4269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8C547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7A09EF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9F24C0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243C318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205D33E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13845B9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26EA0E1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7CF01DA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2B3F7DB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23C8C36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553F9DF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195E94B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7F8EA1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183247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6D64A194">
            <w:pPr>
              <w:pStyle w:val="10"/>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Times New Roman" w:hAnsi="Times New Roman" w:cs="Times New Roman"/>
                <w:b w:val="0"/>
                <w:bCs w:val="0"/>
                <w:snapToGrid w:val="0"/>
                <w:color w:val="auto"/>
                <w:kern w:val="0"/>
                <w:sz w:val="24"/>
                <w:szCs w:val="24"/>
                <w:highlight w:val="none"/>
                <w:lang w:val="en-US" w:eastAsia="zh-CN" w:bidi="ar-SA"/>
              </w:rPr>
            </w:pPr>
            <w:r>
              <w:rPr>
                <w:rFonts w:hint="eastAsia" w:ascii="Times New Roman" w:hAnsi="Times New Roman" w:cs="Times New Roman"/>
                <w:b w:val="0"/>
                <w:bCs w:val="0"/>
                <w:snapToGrid w:val="0"/>
                <w:color w:val="auto"/>
                <w:kern w:val="0"/>
                <w:sz w:val="24"/>
                <w:szCs w:val="24"/>
                <w:highlight w:val="none"/>
                <w:lang w:val="en-US" w:eastAsia="zh-CN" w:bidi="ar-SA"/>
              </w:rPr>
              <w:t>1、复垦工作计划：</w:t>
            </w:r>
          </w:p>
          <w:p w14:paraId="6BFC567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eastAsia="FangSong_GB2312" w:cs="Times New Roman"/>
                <w:b w:val="0"/>
                <w:bCs w:val="0"/>
                <w:color w:val="auto"/>
                <w:szCs w:val="21"/>
                <w:highlight w:val="none"/>
              </w:rPr>
              <w:t>（1）工作计划：</w:t>
            </w:r>
          </w:p>
          <w:p w14:paraId="20862503">
            <w:pPr>
              <w:pStyle w:val="10"/>
              <w:spacing w:line="360" w:lineRule="auto"/>
              <w:ind w:firstLine="480"/>
              <w:rPr>
                <w:rFonts w:hint="default" w:ascii="Times New Roman" w:hAnsi="Times New Roman" w:eastAsia="FangSong_GB2312" w:cs="Times New Roman"/>
                <w:b w:val="0"/>
                <w:bCs w:val="0"/>
                <w:snapToGrid w:val="0"/>
                <w:color w:val="auto"/>
                <w:kern w:val="0"/>
                <w:sz w:val="24"/>
                <w:szCs w:val="24"/>
                <w:highlight w:val="none"/>
                <w:lang w:val="zh-CN" w:eastAsia="zh-CN" w:bidi="ar-SA"/>
              </w:rPr>
            </w:pPr>
            <w:r>
              <w:rPr>
                <w:rFonts w:hint="default" w:ascii="Times New Roman" w:hAnsi="Times New Roman" w:eastAsia="FangSong_GB2312" w:cs="Times New Roman"/>
                <w:b w:val="0"/>
                <w:bCs w:val="0"/>
                <w:snapToGrid w:val="0"/>
                <w:color w:val="auto"/>
                <w:kern w:val="0"/>
                <w:sz w:val="24"/>
                <w:szCs w:val="24"/>
                <w:highlight w:val="none"/>
                <w:lang w:val="zh-CN" w:eastAsia="zh-CN" w:bidi="ar-SA"/>
              </w:rPr>
              <w:t>根据</w:t>
            </w:r>
            <w:r>
              <w:rPr>
                <w:rFonts w:hint="default" w:ascii="Times New Roman" w:hAnsi="Times New Roman" w:cs="Times New Roman"/>
                <w:b w:val="0"/>
                <w:bCs w:val="0"/>
                <w:snapToGrid w:val="0"/>
                <w:color w:val="auto"/>
                <w:kern w:val="0"/>
                <w:sz w:val="24"/>
                <w:szCs w:val="24"/>
                <w:highlight w:val="none"/>
                <w:lang w:val="zh-CN" w:eastAsia="zh-CN" w:bidi="ar-SA"/>
              </w:rPr>
              <w:t>新建渝昆高铁工程昆明空港段中铁十八局附属配套设施第二批临时用地</w:t>
            </w:r>
            <w:r>
              <w:rPr>
                <w:rFonts w:hint="default" w:ascii="Times New Roman" w:hAnsi="Times New Roman" w:eastAsia="FangSong_GB2312" w:cs="Times New Roman"/>
                <w:b w:val="0"/>
                <w:bCs w:val="0"/>
                <w:snapToGrid w:val="0"/>
                <w:color w:val="auto"/>
                <w:kern w:val="0"/>
                <w:sz w:val="24"/>
                <w:szCs w:val="24"/>
                <w:highlight w:val="none"/>
                <w:lang w:val="zh-CN" w:eastAsia="zh-CN" w:bidi="ar-SA"/>
              </w:rPr>
              <w:t>的施工工艺、建设年限、建设进度及土地损毁程度，按照边施工边复垦的原则制定土地复垦工程进度，以保证尽快及时复垦被损毁的土地。本方案服务年限为</w:t>
            </w:r>
            <w:r>
              <w:rPr>
                <w:rFonts w:hint="default" w:ascii="Times New Roman" w:hAnsi="Times New Roman" w:cs="Times New Roman"/>
                <w:b w:val="0"/>
                <w:bCs w:val="0"/>
                <w:snapToGrid w:val="0"/>
                <w:color w:val="auto"/>
                <w:kern w:val="0"/>
                <w:sz w:val="24"/>
                <w:szCs w:val="24"/>
                <w:highlight w:val="none"/>
                <w:lang w:val="en-US" w:eastAsia="zh-CN" w:bidi="ar-SA"/>
              </w:rPr>
              <w:t>6.5</w:t>
            </w:r>
            <w:r>
              <w:rPr>
                <w:rFonts w:hint="default" w:ascii="Times New Roman" w:hAnsi="Times New Roman" w:eastAsia="FangSong_GB2312" w:cs="Times New Roman"/>
                <w:b w:val="0"/>
                <w:bCs w:val="0"/>
                <w:snapToGrid w:val="0"/>
                <w:color w:val="auto"/>
                <w:kern w:val="0"/>
                <w:sz w:val="24"/>
                <w:szCs w:val="24"/>
                <w:highlight w:val="none"/>
                <w:lang w:val="en-US" w:eastAsia="zh-CN" w:bidi="ar-SA"/>
              </w:rPr>
              <w:t>年</w:t>
            </w:r>
            <w:r>
              <w:rPr>
                <w:rFonts w:hint="default" w:ascii="Times New Roman" w:hAnsi="Times New Roman" w:eastAsia="FangSong_GB2312" w:cs="Times New Roman"/>
                <w:b w:val="0"/>
                <w:bCs w:val="0"/>
                <w:snapToGrid w:val="0"/>
                <w:color w:val="auto"/>
                <w:kern w:val="0"/>
                <w:sz w:val="24"/>
                <w:szCs w:val="24"/>
                <w:highlight w:val="none"/>
                <w:lang w:val="zh-CN" w:eastAsia="zh-CN" w:bidi="ar-SA"/>
              </w:rPr>
              <w:t>，</w:t>
            </w:r>
            <w:r>
              <w:rPr>
                <w:rFonts w:hint="default" w:ascii="Times New Roman" w:hAnsi="Times New Roman" w:cs="Times New Roman"/>
                <w:color w:val="auto"/>
                <w:highlight w:val="none"/>
              </w:rPr>
              <w:t>分两个阶段</w:t>
            </w:r>
            <w:r>
              <w:rPr>
                <w:rFonts w:hint="default" w:ascii="Times New Roman" w:hAnsi="Times New Roman" w:cs="Times New Roman"/>
                <w:color w:val="auto"/>
                <w:highlight w:val="none"/>
                <w:lang w:val="zh-CN"/>
              </w:rPr>
              <w:t>，土地复垦计划安排如下：</w:t>
            </w:r>
          </w:p>
          <w:p w14:paraId="67E8ED00">
            <w:pPr>
              <w:pStyle w:val="10"/>
              <w:spacing w:line="360" w:lineRule="auto"/>
              <w:ind w:firstLine="482"/>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a）第一阶段：202</w:t>
            </w:r>
            <w:r>
              <w:rPr>
                <w:rFonts w:hint="default" w:ascii="Times New Roman" w:hAnsi="Times New Roman" w:cs="Times New Roman"/>
                <w:b/>
                <w:color w:val="auto"/>
                <w:highlight w:val="none"/>
                <w:lang w:val="en-US" w:eastAsia="zh-CN"/>
              </w:rPr>
              <w:t>3</w:t>
            </w:r>
            <w:r>
              <w:rPr>
                <w:rFonts w:hint="default" w:ascii="Times New Roman" w:hAnsi="Times New Roman" w:cs="Times New Roman"/>
                <w:b/>
                <w:color w:val="auto"/>
                <w:highlight w:val="none"/>
                <w:lang w:val="zh-CN"/>
              </w:rPr>
              <w:t>年6月～202</w:t>
            </w:r>
            <w:r>
              <w:rPr>
                <w:rFonts w:hint="default" w:ascii="Times New Roman" w:hAnsi="Times New Roman" w:cs="Times New Roman"/>
                <w:b/>
                <w:color w:val="auto"/>
                <w:highlight w:val="none"/>
                <w:lang w:val="en-US" w:eastAsia="zh-CN"/>
              </w:rPr>
              <w:t>6</w:t>
            </w:r>
            <w:r>
              <w:rPr>
                <w:rFonts w:hint="default" w:ascii="Times New Roman" w:hAnsi="Times New Roman" w:cs="Times New Roman"/>
                <w:b/>
                <w:color w:val="auto"/>
                <w:highlight w:val="none"/>
                <w:lang w:val="zh-CN"/>
              </w:rPr>
              <w:t>年</w:t>
            </w:r>
            <w:r>
              <w:rPr>
                <w:rFonts w:hint="default" w:ascii="Times New Roman" w:hAnsi="Times New Roman" w:cs="Times New Roman"/>
                <w:b/>
                <w:color w:val="auto"/>
                <w:highlight w:val="none"/>
                <w:lang w:val="en-US" w:eastAsia="zh-CN"/>
              </w:rPr>
              <w:t>12</w:t>
            </w:r>
            <w:r>
              <w:rPr>
                <w:rFonts w:hint="default" w:ascii="Times New Roman" w:hAnsi="Times New Roman" w:cs="Times New Roman"/>
                <w:b/>
                <w:color w:val="auto"/>
                <w:highlight w:val="none"/>
                <w:lang w:val="zh-CN"/>
              </w:rPr>
              <w:t>月，</w:t>
            </w:r>
            <w:r>
              <w:rPr>
                <w:rFonts w:hint="default" w:ascii="Times New Roman" w:hAnsi="Times New Roman" w:cs="Times New Roman"/>
                <w:b/>
                <w:color w:val="auto"/>
                <w:highlight w:val="none"/>
                <w:lang w:val="en-US" w:eastAsia="zh-CN"/>
              </w:rPr>
              <w:t>共3.5年</w:t>
            </w:r>
            <w:r>
              <w:rPr>
                <w:rFonts w:hint="default" w:ascii="Times New Roman" w:hAnsi="Times New Roman" w:cs="Times New Roman"/>
                <w:b/>
                <w:color w:val="auto"/>
                <w:highlight w:val="none"/>
                <w:lang w:val="zh-CN"/>
              </w:rPr>
              <w:t>。</w:t>
            </w:r>
          </w:p>
          <w:p w14:paraId="35B29EC1">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（1）第一年：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zh-CN"/>
              </w:rPr>
              <w:t>年6月；</w:t>
            </w:r>
          </w:p>
          <w:p w14:paraId="7C02E811">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w:t>
            </w:r>
          </w:p>
          <w:p w14:paraId="027A6EEB">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151AA895">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（2）第二年：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zh-CN"/>
              </w:rPr>
              <w:t>年6月；</w:t>
            </w:r>
          </w:p>
          <w:p w14:paraId="08214C99">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10.42</w:t>
            </w:r>
            <w:r>
              <w:rPr>
                <w:rFonts w:hint="default" w:ascii="Times New Roman" w:hAnsi="Times New Roman" w:cs="Times New Roman"/>
                <w:color w:val="auto"/>
                <w:highlight w:val="none"/>
                <w:lang w:val="zh-CN"/>
              </w:rPr>
              <w:t>万元；</w:t>
            </w:r>
          </w:p>
          <w:p w14:paraId="253A3804">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185654CB">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（3）第三年：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年6月；</w:t>
            </w:r>
          </w:p>
          <w:p w14:paraId="355A9397">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11.15</w:t>
            </w:r>
            <w:r>
              <w:rPr>
                <w:rFonts w:hint="default" w:ascii="Times New Roman" w:hAnsi="Times New Roman" w:cs="Times New Roman"/>
                <w:color w:val="auto"/>
                <w:highlight w:val="none"/>
                <w:lang w:val="zh-CN"/>
              </w:rPr>
              <w:t>万元；</w:t>
            </w:r>
          </w:p>
          <w:p w14:paraId="7FF71ECA">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3EF0A29C">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（4）第四年：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lang w:val="zh-CN"/>
              </w:rPr>
              <w:t>月；</w:t>
            </w:r>
          </w:p>
          <w:p w14:paraId="40B67085">
            <w:pPr>
              <w:spacing w:line="360" w:lineRule="auto"/>
              <w:ind w:firstLine="480"/>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复垦对象：</w:t>
            </w:r>
            <w:r>
              <w:rPr>
                <w:rStyle w:val="11"/>
                <w:rFonts w:hint="eastAsia" w:cs="Times New Roman"/>
                <w:color w:val="auto"/>
                <w:highlight w:val="none"/>
                <w:lang w:val="en-US"/>
              </w:rPr>
              <w:t>取土场</w:t>
            </w:r>
            <w:r>
              <w:rPr>
                <w:rFonts w:hint="default" w:ascii="Times New Roman" w:hAnsi="Times New Roman" w:cs="Times New Roman"/>
                <w:color w:val="auto"/>
                <w:highlight w:val="none"/>
              </w:rPr>
              <w:t>、</w:t>
            </w:r>
            <w:r>
              <w:rPr>
                <w:rFonts w:hint="eastAsia" w:cs="Times New Roman"/>
                <w:color w:val="auto"/>
                <w:highlight w:val="none"/>
                <w:lang w:eastAsia="zh-CN"/>
              </w:rPr>
              <w:t>农用地表土剥离堆放场、</w:t>
            </w:r>
            <w:r>
              <w:rPr>
                <w:rFonts w:hint="eastAsia" w:cs="Times New Roman"/>
                <w:color w:val="auto"/>
                <w:highlight w:val="none"/>
                <w:lang w:val="en-US" w:eastAsia="zh-CN"/>
              </w:rPr>
              <w:t>临时生活用房</w:t>
            </w:r>
            <w:r>
              <w:rPr>
                <w:rStyle w:val="11"/>
                <w:rFonts w:hint="default" w:ascii="Times New Roman" w:hAnsi="Times New Roman" w:cs="Times New Roman"/>
                <w:color w:val="auto"/>
                <w:highlight w:val="none"/>
              </w:rPr>
              <w:t>；</w:t>
            </w:r>
          </w:p>
          <w:p w14:paraId="41B16C55">
            <w:pPr>
              <w:pStyle w:val="10"/>
              <w:spacing w:line="360" w:lineRule="auto"/>
              <w:ind w:firstLine="480"/>
              <w:rPr>
                <w:rStyle w:val="11"/>
                <w:rFonts w:hint="default" w:ascii="Times New Roman" w:hAnsi="Times New Roman" w:cs="Times New Roman"/>
                <w:color w:val="FF0000"/>
                <w:highlight w:val="none"/>
              </w:rPr>
            </w:pPr>
            <w:r>
              <w:rPr>
                <w:rStyle w:val="11"/>
                <w:rFonts w:hint="default" w:ascii="Times New Roman" w:hAnsi="Times New Roman" w:cs="Times New Roman"/>
                <w:color w:val="auto"/>
                <w:highlight w:val="none"/>
              </w:rPr>
              <w:t>复垦目标：</w:t>
            </w:r>
            <w:r>
              <w:rPr>
                <w:rFonts w:hint="default" w:ascii="Times New Roman" w:hAnsi="Times New Roman" w:cs="Times New Roman"/>
                <w:color w:val="auto"/>
                <w:highlight w:val="none"/>
              </w:rPr>
              <w:t>复垦面积</w:t>
            </w:r>
            <w:r>
              <w:rPr>
                <w:rFonts w:hint="default" w:ascii="Times New Roman" w:hAnsi="Times New Roman" w:cs="Times New Roman"/>
                <w:color w:val="auto"/>
                <w:highlight w:val="none"/>
                <w:lang w:val="en-US" w:eastAsia="zh-CN"/>
              </w:rPr>
              <w:t>6.3519</w:t>
            </w:r>
            <w:r>
              <w:rPr>
                <w:rFonts w:hint="default" w:ascii="Times New Roman" w:hAnsi="Times New Roman" w:cs="Times New Roman"/>
                <w:color w:val="auto"/>
                <w:highlight w:val="none"/>
              </w:rPr>
              <w:t>hm²，</w:t>
            </w:r>
            <w:r>
              <w:rPr>
                <w:rFonts w:hint="default" w:ascii="Times New Roman" w:hAnsi="Times New Roman" w:cs="Times New Roman"/>
                <w:color w:val="auto"/>
                <w:highlight w:val="none"/>
                <w:lang w:val="en-US" w:eastAsia="zh-CN"/>
              </w:rPr>
              <w:t>其中</w:t>
            </w:r>
            <w:r>
              <w:rPr>
                <w:rFonts w:hint="eastAsia" w:ascii="Times New Roman" w:hAnsi="Times New Roman" w:cs="Times New Roman"/>
                <w:color w:val="auto"/>
                <w:highlight w:val="none"/>
                <w:lang w:val="en-US" w:eastAsia="zh-CN"/>
              </w:rPr>
              <w:t>取土场</w:t>
            </w:r>
            <w:r>
              <w:rPr>
                <w:rFonts w:hint="default" w:ascii="Times New Roman" w:hAnsi="Times New Roman" w:cs="Times New Roman"/>
                <w:color w:val="auto"/>
                <w:highlight w:val="none"/>
                <w:lang w:val="en-US" w:eastAsia="zh-CN"/>
              </w:rPr>
              <w:t>复垦面积为2.5753hm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，其中复垦旱地面积为1.2064hm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，复垦乔木林地面积为1.3055hm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，复垦为田坎面积为0.063</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，复垦单元（</w:t>
            </w:r>
            <w:r>
              <w:rPr>
                <w:rFonts w:hint="eastAsia" w:cs="Times New Roman"/>
                <w:color w:val="auto"/>
                <w:highlight w:val="none"/>
                <w:lang w:eastAsia="zh-CN"/>
              </w:rPr>
              <w:t>农用地表土剥离堆放场</w:t>
            </w:r>
            <w:r>
              <w:rPr>
                <w:rFonts w:hint="default" w:ascii="Times New Roman" w:hAnsi="Times New Roman" w:cs="Times New Roman"/>
                <w:color w:val="auto"/>
                <w:highlight w:val="none"/>
                <w:lang w:val="en-US" w:eastAsia="zh-CN"/>
              </w:rPr>
              <w:t>）复垦面积为</w:t>
            </w:r>
            <w:r>
              <w:rPr>
                <w:rFonts w:hint="eastAsia" w:ascii="Times New Roman" w:hAnsi="Times New Roman" w:cs="Times New Roman"/>
                <w:color w:val="auto"/>
                <w:highlight w:val="none"/>
                <w:lang w:val="en-US" w:eastAsia="zh-CN"/>
              </w:rPr>
              <w:t>3.2349</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，其中复垦旱地面积为</w:t>
            </w:r>
            <w:r>
              <w:rPr>
                <w:rFonts w:hint="eastAsia" w:ascii="Times New Roman" w:hAnsi="Times New Roman" w:cs="Times New Roman"/>
                <w:color w:val="auto"/>
                <w:highlight w:val="none"/>
                <w:lang w:val="en-US" w:eastAsia="zh-CN"/>
              </w:rPr>
              <w:t>3.0461</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，复垦为田坎面积为0.1888hm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生活住房复垦面积为0.5417，均复垦为旱地</w:t>
            </w:r>
            <w:r>
              <w:rPr>
                <w:rFonts w:hint="default" w:ascii="Times New Roman" w:hAnsi="Times New Roman" w:cs="Times New Roman"/>
                <w:color w:val="auto"/>
                <w:highlight w:val="none"/>
              </w:rPr>
              <w:t>；</w:t>
            </w:r>
          </w:p>
          <w:p w14:paraId="39A5DCD6">
            <w:pPr>
              <w:pStyle w:val="10"/>
              <w:spacing w:line="360" w:lineRule="auto"/>
              <w:ind w:firstLine="480"/>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复垦措施：</w:t>
            </w:r>
            <w:r>
              <w:rPr>
                <w:rFonts w:hint="default" w:ascii="Times New Roman" w:hAnsi="Times New Roman" w:cs="Times New Roman"/>
                <w:color w:val="auto"/>
                <w:highlight w:val="none"/>
              </w:rPr>
              <w:t>对于复垦区场地进行全面复垦规划，主要措施有</w:t>
            </w:r>
            <w:r>
              <w:rPr>
                <w:rFonts w:hint="default" w:ascii="Times New Roman" w:hAnsi="Times New Roman" w:cs="Times New Roman"/>
                <w:color w:val="auto"/>
                <w:highlight w:val="none"/>
                <w:lang w:val="en-US" w:eastAsia="zh-CN"/>
              </w:rPr>
              <w:t>翻耕、</w:t>
            </w:r>
            <w:r>
              <w:rPr>
                <w:rFonts w:hint="default" w:ascii="Times New Roman" w:hAnsi="Times New Roman" w:cs="Times New Roman"/>
                <w:color w:val="auto"/>
                <w:highlight w:val="none"/>
              </w:rPr>
              <w:t>覆土、</w:t>
            </w:r>
            <w:r>
              <w:rPr>
                <w:rFonts w:hint="eastAsia" w:ascii="Times New Roman" w:hAnsi="Times New Roman" w:cs="Times New Roman"/>
                <w:color w:val="auto"/>
                <w:highlight w:val="none"/>
                <w:lang w:val="en-US" w:eastAsia="zh-CN"/>
              </w:rPr>
              <w:t>平整、</w:t>
            </w:r>
            <w:r>
              <w:rPr>
                <w:rFonts w:hint="default" w:ascii="Times New Roman" w:hAnsi="Times New Roman" w:cs="Times New Roman"/>
                <w:color w:val="auto"/>
                <w:highlight w:val="none"/>
              </w:rPr>
              <w:t>施有机肥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植被重建恢复，主要措施为种植乔木及撒播草籽</w:t>
            </w:r>
            <w:r>
              <w:rPr>
                <w:rFonts w:hint="default" w:ascii="Times New Roman" w:hAnsi="Times New Roman" w:cs="Times New Roman"/>
                <w:color w:val="auto"/>
                <w:highlight w:val="none"/>
              </w:rPr>
              <w:t>。</w:t>
            </w:r>
            <w:r>
              <w:rPr>
                <w:rStyle w:val="11"/>
                <w:rFonts w:hint="default" w:ascii="Times New Roman" w:hAnsi="Times New Roman" w:cs="Times New Roman"/>
                <w:color w:val="auto"/>
                <w:highlight w:val="none"/>
              </w:rPr>
              <w:t>对已复垦区域进行全面监测。</w:t>
            </w:r>
          </w:p>
          <w:p w14:paraId="4C693195">
            <w:pPr>
              <w:pStyle w:val="10"/>
              <w:spacing w:line="360" w:lineRule="auto"/>
              <w:ind w:firstLine="480"/>
              <w:rPr>
                <w:rFonts w:hint="default" w:ascii="Times New Roman" w:hAnsi="Times New Roman" w:cs="Times New Roman"/>
                <w:bCs w:val="0"/>
                <w:color w:val="auto"/>
                <w:highlight w:val="none"/>
              </w:rPr>
            </w:pPr>
            <w:r>
              <w:rPr>
                <w:rStyle w:val="11"/>
                <w:rFonts w:hint="default" w:ascii="Times New Roman" w:hAnsi="Times New Roman" w:cs="Times New Roman"/>
                <w:color w:val="auto"/>
                <w:highlight w:val="none"/>
              </w:rPr>
              <w:t>工程量：</w:t>
            </w:r>
            <w:r>
              <w:rPr>
                <w:rFonts w:hint="eastAsia" w:ascii="Times New Roman" w:hAnsi="Times New Roman" w:cs="Times New Roman"/>
                <w:bCs w:val="0"/>
                <w:color w:val="auto"/>
                <w:highlight w:val="none"/>
                <w:lang w:val="en-US"/>
              </w:rPr>
              <w:t>拆除硬化沟渠782.76</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eastAsia" w:ascii="Times New Roman" w:hAnsi="Times New Roman" w:cs="Times New Roman"/>
                <w:bCs w:val="0"/>
                <w:color w:val="auto"/>
                <w:highlight w:val="none"/>
                <w:lang w:val="en-US" w:eastAsia="zh-CN"/>
              </w:rPr>
              <w:t>清运土石方</w:t>
            </w:r>
            <w:r>
              <w:rPr>
                <w:rFonts w:hint="eastAsia" w:ascii="Times New Roman" w:hAnsi="Times New Roman" w:cs="Times New Roman"/>
                <w:bCs w:val="0"/>
                <w:color w:val="auto"/>
                <w:highlight w:val="none"/>
                <w:lang w:val="en-US"/>
              </w:rPr>
              <w:t>1260.51</w:t>
            </w:r>
            <w:r>
              <w:rPr>
                <w:rFonts w:hint="eastAsia" w:ascii="Times New Roman" w:hAnsi="Times New Roman" w:cs="Times New Roman"/>
                <w:bCs w:val="0"/>
                <w:color w:val="auto"/>
                <w:highlight w:val="none"/>
                <w:lang w:val="en-US" w:eastAsia="zh-CN"/>
              </w:rPr>
              <w:t>12</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翻耕</w:t>
            </w:r>
            <w:r>
              <w:rPr>
                <w:rFonts w:hint="eastAsia" w:ascii="Times New Roman" w:hAnsi="Times New Roman" w:cs="Times New Roman"/>
                <w:bCs w:val="0"/>
                <w:color w:val="auto"/>
                <w:highlight w:val="none"/>
                <w:lang w:val="en-US" w:eastAsia="zh-CN"/>
              </w:rPr>
              <w:t>4.7941</w:t>
            </w:r>
            <w:r>
              <w:rPr>
                <w:rFonts w:hint="default" w:ascii="Times New Roman" w:hAnsi="Times New Roman" w:cs="Times New Roman"/>
                <w:bCs w:val="0"/>
                <w:color w:val="auto"/>
                <w:highlight w:val="none"/>
              </w:rPr>
              <w:t>公顷，平整</w:t>
            </w:r>
            <w:r>
              <w:rPr>
                <w:rFonts w:hint="eastAsia" w:ascii="Times New Roman" w:hAnsi="Times New Roman" w:cs="Times New Roman"/>
                <w:bCs w:val="0"/>
                <w:color w:val="auto"/>
                <w:highlight w:val="none"/>
                <w:lang w:val="en-US" w:eastAsia="zh-CN"/>
              </w:rPr>
              <w:t>15139.5</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eastAsia" w:ascii="Times New Roman" w:hAnsi="Times New Roman" w:cs="Times New Roman"/>
                <w:bCs w:val="0"/>
                <w:color w:val="auto"/>
                <w:highlight w:val="none"/>
                <w:lang w:val="en-US" w:eastAsia="zh-CN"/>
              </w:rPr>
              <w:t>田坎修筑1009.28</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，覆土</w:t>
            </w:r>
            <w:r>
              <w:rPr>
                <w:rFonts w:hint="eastAsia" w:ascii="Times New Roman" w:hAnsi="Times New Roman" w:cs="Times New Roman"/>
                <w:bCs w:val="0"/>
                <w:color w:val="auto"/>
                <w:highlight w:val="none"/>
                <w:lang w:val="en-US" w:eastAsia="zh-CN"/>
              </w:rPr>
              <w:t>36301.04</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，表土调运</w:t>
            </w:r>
            <w:r>
              <w:rPr>
                <w:rFonts w:hint="eastAsia" w:ascii="Times New Roman" w:hAnsi="Times New Roman" w:cs="Times New Roman"/>
                <w:bCs w:val="0"/>
                <w:color w:val="auto"/>
                <w:highlight w:val="none"/>
                <w:lang w:val="en-US" w:eastAsia="zh-CN"/>
              </w:rPr>
              <w:t>36301.04</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，翻耕</w:t>
            </w:r>
            <w:r>
              <w:rPr>
                <w:rFonts w:hint="eastAsia" w:ascii="Times New Roman" w:hAnsi="Times New Roman" w:cs="Times New Roman"/>
                <w:bCs w:val="0"/>
                <w:color w:val="auto"/>
                <w:highlight w:val="none"/>
                <w:lang w:val="en-US" w:eastAsia="zh-CN"/>
              </w:rPr>
              <w:t>4.7941</w:t>
            </w:r>
            <w:r>
              <w:rPr>
                <w:rFonts w:hint="default" w:ascii="Times New Roman" w:hAnsi="Times New Roman" w:cs="Times New Roman"/>
                <w:bCs w:val="0"/>
                <w:color w:val="auto"/>
                <w:highlight w:val="none"/>
              </w:rPr>
              <w:t>公顷，施有机肥</w:t>
            </w:r>
            <w:r>
              <w:rPr>
                <w:rFonts w:hint="eastAsia" w:ascii="Times New Roman" w:hAnsi="Times New Roman" w:cs="Times New Roman"/>
                <w:bCs w:val="0"/>
                <w:color w:val="auto"/>
                <w:highlight w:val="none"/>
                <w:lang w:val="en-US" w:eastAsia="zh-CN"/>
              </w:rPr>
              <w:t>21.9702</w:t>
            </w:r>
            <w:r>
              <w:rPr>
                <w:rFonts w:hint="default" w:ascii="Times New Roman" w:hAnsi="Times New Roman" w:cs="Times New Roman"/>
                <w:bCs w:val="0"/>
                <w:color w:val="auto"/>
                <w:highlight w:val="none"/>
              </w:rPr>
              <w:t>公顷</w:t>
            </w:r>
            <w:r>
              <w:rPr>
                <w:rFonts w:hint="eastAsia" w:ascii="Times New Roman" w:hAnsi="Times New Roman" w:cs="Times New Roman"/>
                <w:bCs w:val="0"/>
                <w:color w:val="auto"/>
                <w:highlight w:val="none"/>
                <w:lang w:eastAsia="zh-CN"/>
              </w:rPr>
              <w:t>（</w:t>
            </w:r>
            <w:r>
              <w:rPr>
                <w:rFonts w:hint="eastAsia" w:ascii="Times New Roman" w:hAnsi="Times New Roman" w:cs="Times New Roman"/>
                <w:bCs w:val="0"/>
                <w:color w:val="auto"/>
                <w:highlight w:val="none"/>
                <w:lang w:val="en-US" w:eastAsia="zh-CN"/>
              </w:rPr>
              <w:t>连续施肥3年</w:t>
            </w:r>
            <w:r>
              <w:rPr>
                <w:rFonts w:hint="eastAsia" w:ascii="Times New Roman" w:hAnsi="Times New Roman" w:cs="Times New Roman"/>
                <w:bCs w:val="0"/>
                <w:color w:val="auto"/>
                <w:highlight w:val="none"/>
                <w:lang w:eastAsia="zh-CN"/>
              </w:rPr>
              <w:t>）</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种植乔木</w:t>
            </w:r>
            <w:r>
              <w:rPr>
                <w:rFonts w:hint="eastAsia" w:ascii="Times New Roman" w:hAnsi="Times New Roman" w:cs="Times New Roman"/>
                <w:bCs w:val="0"/>
                <w:color w:val="auto"/>
                <w:highlight w:val="none"/>
                <w:lang w:val="en-US" w:eastAsia="zh-CN"/>
              </w:rPr>
              <w:t>3362</w:t>
            </w:r>
            <w:r>
              <w:rPr>
                <w:rFonts w:hint="default" w:ascii="Times New Roman" w:hAnsi="Times New Roman" w:cs="Times New Roman"/>
                <w:bCs w:val="0"/>
                <w:color w:val="auto"/>
                <w:highlight w:val="none"/>
                <w:lang w:val="en-US" w:eastAsia="zh-CN"/>
              </w:rPr>
              <w:t>株</w:t>
            </w:r>
            <w:r>
              <w:rPr>
                <w:rFonts w:hint="eastAsia" w:ascii="Times New Roman" w:hAnsi="Times New Roman" w:cs="Times New Roman"/>
                <w:bCs w:val="0"/>
                <w:color w:val="auto"/>
                <w:highlight w:val="none"/>
                <w:lang w:val="en-US" w:eastAsia="zh-CN"/>
              </w:rPr>
              <w:t>（柳杉及樟树各1681株）</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撒播草籽</w:t>
            </w:r>
            <w:r>
              <w:rPr>
                <w:rFonts w:hint="eastAsia" w:ascii="Times New Roman" w:hAnsi="Times New Roman" w:cs="Times New Roman"/>
                <w:bCs w:val="0"/>
                <w:color w:val="auto"/>
                <w:highlight w:val="none"/>
                <w:lang w:val="en-US" w:eastAsia="zh-CN"/>
              </w:rPr>
              <w:t>1.2239</w:t>
            </w:r>
            <w:r>
              <w:rPr>
                <w:rFonts w:hint="default" w:ascii="Times New Roman" w:hAnsi="Times New Roman" w:cs="Times New Roman"/>
                <w:bCs w:val="0"/>
                <w:color w:val="auto"/>
                <w:highlight w:val="none"/>
              </w:rPr>
              <w:t>公顷</w:t>
            </w:r>
            <w:r>
              <w:rPr>
                <w:rFonts w:hint="eastAsia" w:ascii="Times New Roman" w:hAnsi="Times New Roman" w:cs="Times New Roman"/>
                <w:bCs w:val="0"/>
                <w:color w:val="auto"/>
                <w:highlight w:val="none"/>
                <w:lang w:eastAsia="zh-CN"/>
              </w:rPr>
              <w:t>，</w:t>
            </w:r>
            <w:r>
              <w:rPr>
                <w:rFonts w:hint="eastAsia" w:ascii="Times New Roman" w:hAnsi="Times New Roman" w:cs="Times New Roman"/>
                <w:bCs w:val="0"/>
                <w:color w:val="auto"/>
                <w:highlight w:val="none"/>
                <w:lang w:val="en-US" w:eastAsia="zh-CN"/>
              </w:rPr>
              <w:t>新建水窖9座</w:t>
            </w:r>
            <w:r>
              <w:rPr>
                <w:rFonts w:hint="default" w:ascii="Times New Roman" w:hAnsi="Times New Roman" w:cs="Times New Roman"/>
                <w:bCs w:val="0"/>
                <w:color w:val="auto"/>
                <w:highlight w:val="none"/>
              </w:rPr>
              <w:t>；对复垦区域进行监测及管护。</w:t>
            </w:r>
          </w:p>
          <w:p w14:paraId="7B70CABF">
            <w:pPr>
              <w:pStyle w:val="10"/>
              <w:spacing w:line="360" w:lineRule="auto"/>
              <w:ind w:firstLine="480"/>
              <w:rPr>
                <w:rFonts w:hint="default" w:ascii="Times New Roman" w:hAnsi="Times New Roman" w:cs="Times New Roman"/>
                <w:bCs w:val="0"/>
                <w:color w:val="auto"/>
                <w:highlight w:val="none"/>
                <w:lang w:val="zh-CN"/>
              </w:rPr>
            </w:pPr>
            <w:r>
              <w:rPr>
                <w:rFonts w:hint="default" w:ascii="Times New Roman" w:hAnsi="Times New Roman" w:cs="Times New Roman"/>
                <w:bCs w:val="0"/>
                <w:color w:val="auto"/>
                <w:highlight w:val="none"/>
                <w:lang w:val="zh-CN"/>
              </w:rPr>
              <w:t>复垦资金：本年度静态投资</w:t>
            </w:r>
            <w:r>
              <w:rPr>
                <w:rFonts w:hint="eastAsia" w:ascii="Times New Roman" w:hAnsi="Times New Roman" w:cs="Times New Roman"/>
                <w:bCs w:val="0"/>
                <w:color w:val="auto"/>
                <w:highlight w:val="none"/>
                <w:lang w:val="en-US" w:eastAsia="zh-CN"/>
              </w:rPr>
              <w:t>147.70</w:t>
            </w:r>
            <w:r>
              <w:rPr>
                <w:rFonts w:hint="default" w:ascii="Times New Roman" w:hAnsi="Times New Roman" w:cs="Times New Roman"/>
                <w:bCs w:val="0"/>
                <w:color w:val="auto"/>
                <w:highlight w:val="none"/>
                <w:lang w:val="zh-CN"/>
              </w:rPr>
              <w:t>万元，动态投资</w:t>
            </w:r>
            <w:r>
              <w:rPr>
                <w:rFonts w:hint="eastAsia" w:ascii="Times New Roman" w:hAnsi="Times New Roman" w:cs="Times New Roman"/>
                <w:bCs w:val="0"/>
                <w:color w:val="auto"/>
                <w:highlight w:val="none"/>
                <w:lang w:val="en-US" w:eastAsia="zh-CN"/>
              </w:rPr>
              <w:t>180.94</w:t>
            </w:r>
            <w:r>
              <w:rPr>
                <w:rFonts w:hint="default" w:ascii="Times New Roman" w:hAnsi="Times New Roman" w:cs="Times New Roman"/>
                <w:bCs w:val="0"/>
                <w:color w:val="auto"/>
                <w:highlight w:val="none"/>
                <w:lang w:val="zh-CN"/>
              </w:rPr>
              <w:t>万元；</w:t>
            </w:r>
          </w:p>
          <w:p w14:paraId="19161B16">
            <w:pPr>
              <w:pStyle w:val="10"/>
              <w:spacing w:line="360" w:lineRule="auto"/>
              <w:ind w:firstLine="482"/>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b）第二阶段：20</w:t>
            </w:r>
            <w:r>
              <w:rPr>
                <w:rFonts w:hint="eastAsia" w:ascii="Times New Roman" w:hAnsi="Times New Roman" w:cs="Times New Roman"/>
                <w:b/>
                <w:color w:val="auto"/>
                <w:highlight w:val="none"/>
                <w:lang w:val="en-US" w:eastAsia="zh-CN"/>
              </w:rPr>
              <w:t>27</w:t>
            </w:r>
            <w:r>
              <w:rPr>
                <w:rFonts w:hint="default" w:ascii="Times New Roman" w:hAnsi="Times New Roman" w:cs="Times New Roman"/>
                <w:b/>
                <w:color w:val="auto"/>
                <w:highlight w:val="none"/>
                <w:lang w:val="zh-CN"/>
              </w:rPr>
              <w:t>年1月～20</w:t>
            </w:r>
            <w:r>
              <w:rPr>
                <w:rFonts w:hint="eastAsia" w:ascii="Times New Roman" w:hAnsi="Times New Roman" w:cs="Times New Roman"/>
                <w:b/>
                <w:color w:val="auto"/>
                <w:highlight w:val="none"/>
                <w:lang w:val="en-US" w:eastAsia="zh-CN"/>
              </w:rPr>
              <w:t>29</w:t>
            </w:r>
            <w:r>
              <w:rPr>
                <w:rFonts w:hint="default" w:ascii="Times New Roman" w:hAnsi="Times New Roman" w:cs="Times New Roman"/>
                <w:b/>
                <w:color w:val="auto"/>
                <w:highlight w:val="none"/>
                <w:lang w:val="zh-CN"/>
              </w:rPr>
              <w:t>年12月，共</w:t>
            </w: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lang w:val="zh-CN"/>
              </w:rPr>
              <w:t>年。</w:t>
            </w:r>
          </w:p>
          <w:p w14:paraId="113EFB08">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1</w:t>
            </w:r>
            <w:r>
              <w:rPr>
                <w:rFonts w:hint="default" w:ascii="Times New Roman" w:hAnsi="Times New Roman" w:cs="Times New Roman"/>
                <w:b/>
                <w:color w:val="auto"/>
                <w:highlight w:val="none"/>
                <w:lang w:val="zh-CN"/>
              </w:rPr>
              <w:t>）第五年：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zh-CN"/>
              </w:rPr>
              <w:t>年1月～2027年12月；</w:t>
            </w:r>
          </w:p>
          <w:p w14:paraId="211312FC">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12.77</w:t>
            </w:r>
            <w:r>
              <w:rPr>
                <w:rFonts w:hint="default" w:ascii="Times New Roman" w:hAnsi="Times New Roman" w:cs="Times New Roman"/>
                <w:color w:val="auto"/>
                <w:highlight w:val="none"/>
                <w:lang w:val="zh-CN"/>
              </w:rPr>
              <w:t>万元；</w:t>
            </w:r>
          </w:p>
          <w:p w14:paraId="6268D0C8">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46EF3583">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lang w:val="zh-CN"/>
              </w:rPr>
              <w:t>）第</w:t>
            </w:r>
            <w:r>
              <w:rPr>
                <w:rFonts w:hint="eastAsia" w:ascii="Times New Roman" w:hAnsi="Times New Roman" w:cs="Times New Roman"/>
                <w:b/>
                <w:color w:val="auto"/>
                <w:highlight w:val="none"/>
                <w:lang w:val="en-US" w:eastAsia="zh-CN"/>
              </w:rPr>
              <w:t>6</w:t>
            </w:r>
            <w:r>
              <w:rPr>
                <w:rFonts w:hint="default" w:ascii="Times New Roman" w:hAnsi="Times New Roman" w:cs="Times New Roman"/>
                <w:b/>
                <w:color w:val="auto"/>
                <w:highlight w:val="none"/>
                <w:lang w:val="zh-CN"/>
              </w:rPr>
              <w:t>年：</w:t>
            </w:r>
            <w:r>
              <w:rPr>
                <w:rFonts w:hint="default" w:ascii="Times New Roman" w:hAnsi="Times New Roman" w:cs="Times New Roman"/>
                <w:color w:val="auto"/>
                <w:highlight w:val="none"/>
                <w:lang w:val="zh-CN"/>
              </w:rPr>
              <w:t>20</w:t>
            </w:r>
            <w:r>
              <w:rPr>
                <w:rFonts w:hint="eastAsia" w:ascii="Times New Roman" w:hAnsi="Times New Roman" w:cs="Times New Roman"/>
                <w:color w:val="auto"/>
                <w:highlight w:val="none"/>
                <w:lang w:val="en-US" w:eastAsia="zh-CN"/>
              </w:rPr>
              <w:t>28</w:t>
            </w:r>
            <w:r>
              <w:rPr>
                <w:rFonts w:hint="default" w:ascii="Times New Roman" w:hAnsi="Times New Roman" w:cs="Times New Roman"/>
                <w:color w:val="auto"/>
                <w:highlight w:val="none"/>
                <w:lang w:val="zh-CN"/>
              </w:rPr>
              <w:t>年1月～202</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zh-CN"/>
              </w:rPr>
              <w:t>年12月；</w:t>
            </w:r>
          </w:p>
          <w:p w14:paraId="2EE14D05">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13.66</w:t>
            </w:r>
            <w:r>
              <w:rPr>
                <w:rFonts w:hint="default" w:ascii="Times New Roman" w:hAnsi="Times New Roman" w:cs="Times New Roman"/>
                <w:color w:val="auto"/>
                <w:highlight w:val="none"/>
                <w:lang w:val="zh-CN"/>
              </w:rPr>
              <w:t>万元；</w:t>
            </w:r>
          </w:p>
          <w:p w14:paraId="31CDAF35">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为全面复垦后的监测期</w:t>
            </w:r>
            <w:r>
              <w:rPr>
                <w:rFonts w:hint="default" w:ascii="Times New Roman" w:hAnsi="Times New Roman" w:cs="Times New Roman"/>
                <w:color w:val="auto"/>
                <w:highlight w:val="none"/>
                <w:lang w:val="en-US" w:eastAsia="zh-CN"/>
              </w:rPr>
              <w:t>及管护期</w:t>
            </w:r>
            <w:r>
              <w:rPr>
                <w:rFonts w:hint="default" w:ascii="Times New Roman" w:hAnsi="Times New Roman" w:cs="Times New Roman"/>
                <w:color w:val="auto"/>
                <w:highlight w:val="none"/>
              </w:rPr>
              <w:t>，</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437B14A6">
            <w:pPr>
              <w:pStyle w:val="10"/>
              <w:spacing w:line="360" w:lineRule="auto"/>
              <w:ind w:firstLine="482"/>
              <w:rPr>
                <w:rFonts w:hint="default" w:ascii="Times New Roman" w:hAnsi="Times New Roman" w:cs="Times New Roman"/>
                <w:color w:val="auto"/>
                <w:highlight w:val="none"/>
                <w:lang w:val="zh-CN"/>
              </w:rPr>
            </w:pPr>
            <w:r>
              <w:rPr>
                <w:rFonts w:hint="eastAsia"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3</w:t>
            </w:r>
            <w:r>
              <w:rPr>
                <w:rFonts w:hint="eastAsia" w:ascii="Times New Roman" w:hAnsi="Times New Roman" w:cs="Times New Roman"/>
                <w:b/>
                <w:color w:val="auto"/>
                <w:highlight w:val="none"/>
                <w:lang w:val="zh-CN"/>
              </w:rPr>
              <w:t>）</w:t>
            </w:r>
            <w:r>
              <w:rPr>
                <w:rFonts w:hint="default" w:ascii="Times New Roman" w:hAnsi="Times New Roman" w:cs="Times New Roman"/>
                <w:b/>
                <w:color w:val="auto"/>
                <w:highlight w:val="none"/>
                <w:lang w:val="zh-CN"/>
              </w:rPr>
              <w:t>第</w:t>
            </w:r>
            <w:r>
              <w:rPr>
                <w:rFonts w:hint="eastAsia" w:ascii="Times New Roman" w:hAnsi="Times New Roman" w:cs="Times New Roman"/>
                <w:b/>
                <w:color w:val="auto"/>
                <w:highlight w:val="none"/>
                <w:lang w:val="en-US" w:eastAsia="zh-CN"/>
              </w:rPr>
              <w:t>7</w:t>
            </w:r>
            <w:r>
              <w:rPr>
                <w:rFonts w:hint="default" w:ascii="Times New Roman" w:hAnsi="Times New Roman" w:cs="Times New Roman"/>
                <w:b/>
                <w:color w:val="auto"/>
                <w:highlight w:val="none"/>
                <w:lang w:val="zh-CN"/>
              </w:rPr>
              <w:t>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zh-CN"/>
              </w:rPr>
              <w:t>年1月～202</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zh-CN"/>
              </w:rPr>
              <w:t>年12月；</w:t>
            </w:r>
          </w:p>
          <w:p w14:paraId="4F180017">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14.62</w:t>
            </w:r>
            <w:r>
              <w:rPr>
                <w:rFonts w:hint="default" w:ascii="Times New Roman" w:hAnsi="Times New Roman" w:cs="Times New Roman"/>
                <w:color w:val="auto"/>
                <w:highlight w:val="none"/>
                <w:lang w:val="zh-CN"/>
              </w:rPr>
              <w:t>万元；</w:t>
            </w:r>
          </w:p>
          <w:p w14:paraId="0507801A">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为全面复垦后的监测期</w:t>
            </w:r>
            <w:r>
              <w:rPr>
                <w:rFonts w:hint="default" w:ascii="Times New Roman" w:hAnsi="Times New Roman" w:cs="Times New Roman"/>
                <w:color w:val="auto"/>
                <w:highlight w:val="none"/>
                <w:lang w:val="en-US" w:eastAsia="zh-CN"/>
              </w:rPr>
              <w:t>及管护期</w:t>
            </w:r>
            <w:r>
              <w:rPr>
                <w:rFonts w:hint="default" w:ascii="Times New Roman" w:hAnsi="Times New Roman" w:cs="Times New Roman"/>
                <w:color w:val="auto"/>
                <w:highlight w:val="none"/>
              </w:rPr>
              <w:t>，</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10875360">
            <w:pPr>
              <w:pStyle w:val="10"/>
              <w:keepNext w:val="0"/>
              <w:keepLines w:val="0"/>
              <w:pageBreakBefore w:val="0"/>
              <w:widowControl w:val="0"/>
              <w:kinsoku/>
              <w:wordWrap/>
              <w:overflowPunct/>
              <w:topLinePunct w:val="0"/>
              <w:autoSpaceDE/>
              <w:autoSpaceDN/>
              <w:bidi w:val="0"/>
              <w:spacing w:line="360" w:lineRule="auto"/>
              <w:ind w:firstLine="480"/>
              <w:jc w:val="left"/>
              <w:textAlignment w:val="auto"/>
              <w:rPr>
                <w:rFonts w:hint="default" w:ascii="Times New Roman" w:hAnsi="Times New Roman" w:eastAsia="FangSong_GB2312" w:cs="Times New Roman"/>
                <w:b w:val="0"/>
                <w:bCs w:val="0"/>
                <w:snapToGrid w:val="0"/>
                <w:color w:val="auto"/>
                <w:kern w:val="0"/>
                <w:sz w:val="24"/>
                <w:szCs w:val="24"/>
                <w:highlight w:val="none"/>
                <w:lang w:val="zh-CN" w:eastAsia="zh-CN" w:bidi="ar-SA"/>
              </w:rPr>
            </w:pPr>
            <w:r>
              <w:rPr>
                <w:rFonts w:hint="default" w:ascii="Times New Roman" w:hAnsi="Times New Roman" w:cs="Times New Roman"/>
                <w:color w:val="auto"/>
                <w:highlight w:val="none"/>
                <w:lang w:val="zh-CN"/>
              </w:rPr>
              <w:t>复垦各年度具体工作计划安排见表8-1</w:t>
            </w:r>
            <w:r>
              <w:rPr>
                <w:rFonts w:hint="default" w:ascii="Times New Roman" w:hAnsi="Times New Roman" w:eastAsia="FangSong_GB2312" w:cs="Times New Roman"/>
                <w:b w:val="0"/>
                <w:bCs w:val="0"/>
                <w:snapToGrid w:val="0"/>
                <w:color w:val="auto"/>
                <w:kern w:val="0"/>
                <w:sz w:val="24"/>
                <w:szCs w:val="24"/>
                <w:highlight w:val="none"/>
                <w:lang w:val="zh-CN" w:eastAsia="zh-CN" w:bidi="ar-SA"/>
              </w:rPr>
              <w:t>。</w:t>
            </w:r>
          </w:p>
          <w:p w14:paraId="6E38266C">
            <w:pPr>
              <w:keepNext w:val="0"/>
              <w:keepLines w:val="0"/>
              <w:pageBreakBefore w:val="0"/>
              <w:widowControl w:val="0"/>
              <w:kinsoku/>
              <w:wordWrap/>
              <w:overflowPunct/>
              <w:topLinePunct w:val="0"/>
              <w:autoSpaceDE/>
              <w:autoSpaceDN/>
              <w:bidi w:val="0"/>
              <w:spacing w:line="360" w:lineRule="auto"/>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cs="Times New Roman"/>
                <w:b w:val="0"/>
                <w:bCs w:val="0"/>
                <w:color w:val="auto"/>
                <w:szCs w:val="21"/>
                <w:highlight w:val="none"/>
                <w:lang w:val="en-US" w:eastAsia="zh-CN"/>
              </w:rPr>
              <w:t>2、</w:t>
            </w:r>
            <w:r>
              <w:rPr>
                <w:rFonts w:hint="default" w:ascii="Times New Roman" w:hAnsi="Times New Roman" w:eastAsia="FangSong_GB2312" w:cs="Times New Roman"/>
                <w:b w:val="0"/>
                <w:bCs w:val="0"/>
                <w:color w:val="auto"/>
                <w:szCs w:val="21"/>
                <w:highlight w:val="none"/>
              </w:rPr>
              <w:t>复垦工程</w:t>
            </w:r>
          </w:p>
          <w:p w14:paraId="4B9BE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eastAsia="FangSong_GB2312" w:cs="Times New Roman"/>
                <w:b w:val="0"/>
                <w:bCs w:val="0"/>
                <w:color w:val="auto"/>
                <w:szCs w:val="21"/>
                <w:highlight w:val="none"/>
              </w:rPr>
              <w:t>根据经济合理的原则和自然地理条件、土地损毁状态采取相应的土地复垦标准，土地复垦用途的优先顺序为耕地、林地、园地、牧草地，要求符合</w:t>
            </w:r>
            <w:r>
              <w:rPr>
                <w:color w:val="auto"/>
                <w:highlight w:val="none"/>
              </w:rPr>
              <w:t>《土地复垦质量控制标准》（TD/T1036-2013）</w:t>
            </w:r>
            <w:r>
              <w:rPr>
                <w:rFonts w:hint="default" w:ascii="Times New Roman" w:hAnsi="Times New Roman" w:eastAsia="FangSong_GB2312" w:cs="Times New Roman"/>
                <w:b w:val="0"/>
                <w:bCs w:val="0"/>
                <w:color w:val="auto"/>
                <w:szCs w:val="21"/>
                <w:highlight w:val="none"/>
              </w:rPr>
              <w:t>。根据新建渝昆高铁工程昆明空港段中铁十八局附属配套设施第</w:t>
            </w:r>
            <w:r>
              <w:rPr>
                <w:rFonts w:hint="default" w:ascii="Times New Roman" w:hAnsi="Times New Roman" w:cs="Times New Roman"/>
                <w:b w:val="0"/>
                <w:bCs w:val="0"/>
                <w:color w:val="auto"/>
                <w:szCs w:val="21"/>
                <w:highlight w:val="none"/>
                <w:lang w:eastAsia="zh-CN"/>
              </w:rPr>
              <w:t>二</w:t>
            </w:r>
            <w:r>
              <w:rPr>
                <w:rFonts w:hint="default" w:ascii="Times New Roman" w:hAnsi="Times New Roman" w:eastAsia="FangSong_GB2312" w:cs="Times New Roman"/>
                <w:b w:val="0"/>
                <w:bCs w:val="0"/>
                <w:color w:val="auto"/>
                <w:szCs w:val="21"/>
                <w:highlight w:val="none"/>
              </w:rPr>
              <w:t>批临时用地的施工工艺、土地损毁时序，依据复垦土地最终确定的拟复垦方向，结合项目水土资源平衡分析等，该项目复垦工程措施主要有土壤重构工程、配套工程及监测与管护工程：</w:t>
            </w:r>
          </w:p>
          <w:p w14:paraId="3CD0314E">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（1）土壤重构工程</w:t>
            </w:r>
          </w:p>
          <w:p w14:paraId="3F654C8E">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1）砌体拆除：对场地内不需保留的建筑物及硬化场地进行拆除，以恢复其生态或生产功能。</w:t>
            </w:r>
          </w:p>
          <w:p w14:paraId="48B14C7A">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w:t>
            </w:r>
            <w:r>
              <w:rPr>
                <w:rFonts w:hint="eastAsia" w:cs="Times New Roman"/>
                <w:b w:val="0"/>
                <w:bCs w:val="0"/>
                <w:color w:val="auto"/>
                <w:szCs w:val="21"/>
                <w:highlight w:val="none"/>
                <w:lang w:val="en-US" w:eastAsia="zh-CN"/>
              </w:rPr>
              <w:t>清理工程</w:t>
            </w:r>
            <w:r>
              <w:rPr>
                <w:rFonts w:hint="default" w:ascii="Times New Roman" w:hAnsi="Times New Roman" w:eastAsia="FangSong_GB2312" w:cs="Times New Roman"/>
                <w:b w:val="0"/>
                <w:bCs w:val="0"/>
                <w:color w:val="auto"/>
                <w:szCs w:val="21"/>
                <w:highlight w:val="none"/>
                <w:lang w:val="en-US" w:eastAsia="zh-CN"/>
              </w:rPr>
              <w:t>：对场地及道路地表硬化物、废渣进行清理。</w:t>
            </w:r>
          </w:p>
          <w:p w14:paraId="42618C7B">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3）翻耕：长时间的压占损毁，导致土壤板结、影响土壤水分、养分、空气的上下运行，为了保证后期耕地质量的恢复提高对复垦为耕地的区域进行翻耕。</w:t>
            </w:r>
          </w:p>
          <w:p w14:paraId="4E5AC1C7">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4）覆土：对各单元进行覆土，便于复垦。</w:t>
            </w:r>
          </w:p>
          <w:p w14:paraId="7321D467">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5）土壤培肥：对复垦为耕地各复垦单元进行土壤培肥，以提高土壤肥力。</w:t>
            </w:r>
          </w:p>
          <w:p w14:paraId="2981FCBA">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（2）配套工程：</w:t>
            </w:r>
          </w:p>
          <w:p w14:paraId="5CDC9E4B">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1）灌溉工程：结合主体设计截排水沟工程，结合水资源平衡分析本方案针对拟复垦为旱地保苗用水设计</w:t>
            </w:r>
            <w:r>
              <w:rPr>
                <w:rFonts w:hint="eastAsia" w:cs="Times New Roman"/>
                <w:b w:val="0"/>
                <w:bCs w:val="0"/>
                <w:color w:val="auto"/>
                <w:szCs w:val="21"/>
                <w:highlight w:val="none"/>
                <w:lang w:val="en-US" w:eastAsia="zh-CN"/>
              </w:rPr>
              <w:t>9</w:t>
            </w:r>
            <w:r>
              <w:rPr>
                <w:rFonts w:hint="default" w:ascii="Times New Roman" w:hAnsi="Times New Roman" w:eastAsia="FangSong_GB2312" w:cs="Times New Roman"/>
                <w:b w:val="0"/>
                <w:bCs w:val="0"/>
                <w:color w:val="auto"/>
                <w:szCs w:val="21"/>
                <w:highlight w:val="none"/>
                <w:lang w:val="en-US" w:eastAsia="zh-CN"/>
              </w:rPr>
              <w:t>座水窖及沉砂池。拟复垦为乔木林地前期用水费用计入管护费，后期可以通过天然降雨满足需水量。</w:t>
            </w:r>
          </w:p>
          <w:p w14:paraId="2310878C">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（3）植被重建工程：</w:t>
            </w:r>
          </w:p>
          <w:p w14:paraId="6C0C1CD2">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方案设计对于复垦为林地的区域采取林草恢复工程，根据区域自然条件，自然植被生长情况，植被恢复主要选用生态特性与项目区小流域自然条件相适应、成活率高、生长较迅速、根系较发达的乡土物种，并考虑生物多样性原则。本方案树种推荐选用</w:t>
            </w:r>
            <w:r>
              <w:rPr>
                <w:rFonts w:hint="eastAsia" w:cs="Times New Roman"/>
                <w:b w:val="0"/>
                <w:bCs w:val="0"/>
                <w:color w:val="auto"/>
                <w:szCs w:val="21"/>
                <w:highlight w:val="none"/>
                <w:lang w:val="en-US" w:eastAsia="zh-CN"/>
              </w:rPr>
              <w:t>柳杉</w:t>
            </w:r>
            <w:r>
              <w:rPr>
                <w:rFonts w:hint="default" w:ascii="Times New Roman" w:hAnsi="Times New Roman" w:eastAsia="FangSong_GB2312" w:cs="Times New Roman"/>
                <w:b w:val="0"/>
                <w:bCs w:val="0"/>
                <w:color w:val="auto"/>
                <w:szCs w:val="21"/>
                <w:highlight w:val="none"/>
                <w:lang w:val="en-US" w:eastAsia="zh-CN"/>
              </w:rPr>
              <w:t>、</w:t>
            </w:r>
            <w:r>
              <w:rPr>
                <w:rFonts w:hint="eastAsia" w:cs="Times New Roman"/>
                <w:b w:val="0"/>
                <w:bCs w:val="0"/>
                <w:color w:val="auto"/>
                <w:szCs w:val="21"/>
                <w:highlight w:val="none"/>
                <w:lang w:val="en-US" w:eastAsia="zh-CN"/>
              </w:rPr>
              <w:t>樟树</w:t>
            </w:r>
            <w:r>
              <w:rPr>
                <w:rFonts w:hint="default" w:ascii="Times New Roman" w:hAnsi="Times New Roman" w:eastAsia="FangSong_GB2312" w:cs="Times New Roman"/>
                <w:b w:val="0"/>
                <w:bCs w:val="0"/>
                <w:color w:val="auto"/>
                <w:szCs w:val="21"/>
                <w:highlight w:val="none"/>
                <w:lang w:val="en-US" w:eastAsia="zh-CN"/>
              </w:rPr>
              <w:t>等，草种推荐选用香根草（或狗牙根）等，进行乔草混播。</w:t>
            </w:r>
          </w:p>
          <w:p w14:paraId="0FE95FC8">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（4）监测与管护工程</w:t>
            </w:r>
          </w:p>
          <w:p w14:paraId="138B093A">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1）监测与管护工程：对复垦区域进行定时浇水、施肥管护，保证苗木的成活率。</w:t>
            </w:r>
          </w:p>
          <w:p w14:paraId="24DBC658">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3、保障措施</w:t>
            </w:r>
          </w:p>
          <w:p w14:paraId="1EEC08BA">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（1）组织保障措施：</w:t>
            </w:r>
          </w:p>
          <w:p w14:paraId="4AF677CB">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要做好</w:t>
            </w:r>
            <w:r>
              <w:rPr>
                <w:rFonts w:hint="default" w:ascii="Times New Roman" w:hAnsi="Times New Roman" w:eastAsia="FangSong_GB2312" w:cs="Times New Roman"/>
                <w:b w:val="0"/>
                <w:bCs w:val="0"/>
                <w:color w:val="auto"/>
                <w:szCs w:val="21"/>
                <w:highlight w:val="none"/>
              </w:rPr>
              <w:t>新建渝昆高铁工程昆明空港段中铁十八局附属配套设施第</w:t>
            </w:r>
            <w:r>
              <w:rPr>
                <w:rFonts w:hint="default" w:ascii="Times New Roman" w:hAnsi="Times New Roman" w:cs="Times New Roman"/>
                <w:b w:val="0"/>
                <w:bCs w:val="0"/>
                <w:color w:val="auto"/>
                <w:szCs w:val="21"/>
                <w:highlight w:val="none"/>
                <w:lang w:eastAsia="zh-CN"/>
              </w:rPr>
              <w:t>二</w:t>
            </w:r>
            <w:r>
              <w:rPr>
                <w:rFonts w:hint="default" w:ascii="Times New Roman" w:hAnsi="Times New Roman" w:eastAsia="FangSong_GB2312" w:cs="Times New Roman"/>
                <w:b w:val="0"/>
                <w:bCs w:val="0"/>
                <w:color w:val="auto"/>
                <w:szCs w:val="21"/>
                <w:highlight w:val="none"/>
              </w:rPr>
              <w:t>批临时用地</w:t>
            </w:r>
            <w:r>
              <w:rPr>
                <w:rFonts w:hint="default" w:ascii="Times New Roman" w:hAnsi="Times New Roman" w:eastAsia="FangSong_GB2312" w:cs="Times New Roman"/>
                <w:b w:val="0"/>
                <w:bCs w:val="0"/>
                <w:color w:val="auto"/>
                <w:szCs w:val="21"/>
                <w:highlight w:val="none"/>
                <w:lang w:val="en-US" w:eastAsia="zh-CN"/>
              </w:rPr>
              <w:t>工程土地复垦工作，得力的组织领导和管理措施是土地复垦方案顺利实施的关键。项目在生产过程中造成损毁的土地进行复垦是建设单位应尽的义务，并在生产建设中按照方案的要求完成复垦工程。项目土地复垦工作的负责人要协调好本方案与主体工程的关系，负责组织实施审批的土地复垦方案，进行土地复垦方案的实施管理，全力保证该项工程的土地复垦工作按年度、按计划进行，并主动与自然资源行政主管部门密切配合，自觉接受昆明市</w:t>
            </w:r>
            <w:r>
              <w:rPr>
                <w:rFonts w:hint="eastAsia" w:ascii="Times New Roman" w:hAnsi="Times New Roman" w:cs="Times New Roman"/>
                <w:b w:val="0"/>
                <w:bCs w:val="0"/>
                <w:color w:val="auto"/>
                <w:szCs w:val="21"/>
                <w:highlight w:val="none"/>
                <w:lang w:val="en-US" w:eastAsia="zh-CN"/>
              </w:rPr>
              <w:t>滇中新</w:t>
            </w:r>
            <w:r>
              <w:rPr>
                <w:rFonts w:hint="default" w:ascii="Times New Roman" w:hAnsi="Times New Roman" w:eastAsia="FangSong_GB2312" w:cs="Times New Roman"/>
                <w:b w:val="0"/>
                <w:bCs w:val="0"/>
                <w:color w:val="auto"/>
                <w:szCs w:val="21"/>
                <w:highlight w:val="none"/>
                <w:lang w:val="en-US" w:eastAsia="zh-CN"/>
              </w:rPr>
              <w:t>区自然资源</w:t>
            </w:r>
            <w:r>
              <w:rPr>
                <w:rFonts w:hint="eastAsia" w:ascii="Times New Roman" w:hAnsi="Times New Roman" w:cs="Times New Roman"/>
                <w:b w:val="0"/>
                <w:bCs w:val="0"/>
                <w:color w:val="auto"/>
                <w:szCs w:val="21"/>
                <w:highlight w:val="none"/>
                <w:lang w:val="en-US" w:eastAsia="zh-CN"/>
              </w:rPr>
              <w:t>规划局及相关</w:t>
            </w:r>
            <w:r>
              <w:rPr>
                <w:rFonts w:hint="default" w:ascii="Times New Roman" w:hAnsi="Times New Roman" w:eastAsia="FangSong_GB2312" w:cs="Times New Roman"/>
                <w:b w:val="0"/>
                <w:bCs w:val="0"/>
                <w:color w:val="auto"/>
                <w:szCs w:val="21"/>
                <w:highlight w:val="none"/>
                <w:lang w:val="en-US" w:eastAsia="zh-CN"/>
              </w:rPr>
              <w:t>行政主管部门的监督检查。</w:t>
            </w:r>
          </w:p>
          <w:p w14:paraId="3F660068">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（2）技术保障措施</w:t>
            </w:r>
          </w:p>
          <w:p w14:paraId="5347BFDE">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zh-CN" w:eastAsia="zh-CN"/>
              </w:rPr>
            </w:pPr>
            <w:r>
              <w:rPr>
                <w:rFonts w:hint="default" w:ascii="Times New Roman" w:hAnsi="Times New Roman" w:eastAsia="FangSong_GB2312" w:cs="Times New Roman"/>
                <w:b w:val="0"/>
                <w:bCs w:val="0"/>
                <w:color w:val="auto"/>
                <w:szCs w:val="21"/>
                <w:highlight w:val="none"/>
                <w:lang w:val="zh-CN" w:eastAsia="zh-CN"/>
              </w:rPr>
              <w:t>在复垦方案实施阶段，对各种复垦措施进行专项设计，实行设代制度，设计人员进入现场进行指导；选择施工经验丰富，技术力量强的施工单位，建设中尽量采用先进的施工手段和合法的施工工序；加强复垦技术培训工作，提高复垦的管理能力，在复垦方案实施后，要加强其后期的管理工作，发挥复垦效益。</w:t>
            </w:r>
          </w:p>
          <w:p w14:paraId="43F4CBE8">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（3）费用保障措施：</w:t>
            </w:r>
          </w:p>
          <w:p w14:paraId="21175A4C">
            <w:pPr>
              <w:pStyle w:val="10"/>
              <w:keepNext w:val="0"/>
              <w:keepLines w:val="0"/>
              <w:pageBreakBefore w:val="0"/>
              <w:widowControl w:val="0"/>
              <w:kinsoku/>
              <w:wordWrap/>
              <w:overflowPunct/>
              <w:topLinePunct w:val="0"/>
              <w:autoSpaceDE/>
              <w:autoSpaceDN/>
              <w:bidi w:val="0"/>
              <w:spacing w:line="312" w:lineRule="auto"/>
              <w:ind w:firstLine="420"/>
              <w:jc w:val="left"/>
              <w:textAlignment w:val="auto"/>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zh-CN" w:eastAsia="zh-CN"/>
              </w:rPr>
              <w:t>本方案实用期内土地复垦费用从项目投资中逐年计提，复垦资金实行专项管理和定期检查的使用管理办法，充分保证资金的供应到位，按照复垦方案的实施进度计划、资金的年度计划安排、工程的实际进度情况，把资金逐步逐年落实到位，使复垦措施保质保量如期完成。</w:t>
            </w:r>
          </w:p>
          <w:p w14:paraId="15226DB4">
            <w:pPr>
              <w:spacing w:line="240" w:lineRule="auto"/>
              <w:ind w:firstLine="480"/>
              <w:jc w:val="center"/>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rPr>
              <w:t>复垦资金存入表</w:t>
            </w:r>
            <w:r>
              <w:rPr>
                <w:rFonts w:hint="eastAsia" w:eastAsia="黑体" w:cs="Times New Roman"/>
                <w:b w:val="0"/>
                <w:bCs w:val="0"/>
                <w:color w:val="auto"/>
                <w:sz w:val="24"/>
                <w:szCs w:val="24"/>
                <w:highlight w:val="none"/>
                <w:lang w:val="en-US" w:eastAsia="zh-CN"/>
              </w:rPr>
              <w:t xml:space="preserve">  单位：万元</w:t>
            </w:r>
          </w:p>
          <w:tbl>
            <w:tblPr>
              <w:tblStyle w:val="5"/>
              <w:tblW w:w="6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3"/>
              <w:gridCol w:w="1500"/>
              <w:gridCol w:w="1328"/>
              <w:gridCol w:w="1221"/>
            </w:tblGrid>
            <w:tr w14:paraId="0AF1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84A8">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时间（年）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1F7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年度投资</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B8A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年度预存</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BD8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阶段预存</w:t>
                  </w:r>
                </w:p>
              </w:tc>
            </w:tr>
            <w:tr w14:paraId="5167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3C7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2023年6月-2024年6月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497E">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9.7399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B15035">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 xml:space="preserve">253.2931 </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7BEF5F67">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 xml:space="preserve">253.2931 </w:t>
                  </w:r>
                </w:p>
              </w:tc>
            </w:tr>
            <w:tr w14:paraId="7508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581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2024年6月-2025年6月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710">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10.4217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C8FD1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1D5A523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78E4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BBD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2025年6月-2026年6月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11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11.1512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B555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74ECE10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7640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95F">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2026年6月-2026年12月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409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180.9357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CD07D2">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051828E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0663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D1F">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2027年1月-2027年12月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946E">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12.7670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30EDE">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2AC1799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6701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926">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2028年1月-2028年12月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EAE1">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13.6607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7B91E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0F5ECE0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6966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99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2029年1月-2029年12月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D78">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14.6169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D3C40">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24F8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4B7A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EE2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572">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D68">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175">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r>
          </w:tbl>
          <w:p w14:paraId="3D3D8DD4">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4、监管保障措施</w:t>
            </w:r>
          </w:p>
          <w:p w14:paraId="48C1172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依据《土地复垦条例》的规定，在项目实施过程中，各有关单位要加强资金使用管理，硬化估算约束。严格执行专款专用、专项管理、单独核算规定，任何单位和个人不得超支出范围和标准开支，更不得截留和挪用项目资金；要建立、健全项目会计核算和内部稽核制度，对项目资金实行全过程的财务管理与监督；要严格项目资金竣工决算，规范项目的业绩考评和追踪问效。</w:t>
            </w:r>
          </w:p>
          <w:p w14:paraId="305E660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复垦资金的管理与使用遵循以下原则：</w:t>
            </w:r>
          </w:p>
          <w:p w14:paraId="1B5D6480">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一是设立资金专户，专款专用于土地复垦，保障复垦资金；</w:t>
            </w:r>
          </w:p>
          <w:p w14:paraId="462234A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二是复垦资金实行先计划后使用；自然资源行政主管部门先审核批准复垦计划，然后按照批复的复垦计划使用资金；</w:t>
            </w:r>
          </w:p>
          <w:p w14:paraId="0C4CF97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en-US" w:eastAsia="zh-CN"/>
              </w:rPr>
              <w:t>三是复垦工程施工结束后，由自然资源行政主管部门组织专家进行竣工验收</w:t>
            </w:r>
            <w:r>
              <w:rPr>
                <w:rFonts w:hint="default" w:ascii="Times New Roman" w:hAnsi="Times New Roman" w:cs="Times New Roman"/>
                <w:b w:val="0"/>
                <w:bCs w:val="0"/>
                <w:color w:val="auto"/>
                <w:highlight w:val="none"/>
                <w:lang w:val="zh-CN" w:eastAsia="zh-CN"/>
              </w:rPr>
              <w:t>。</w:t>
            </w:r>
          </w:p>
        </w:tc>
      </w:tr>
      <w:tr w14:paraId="47A1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7733606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62DE6A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2A794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BD84AE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779F4D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B262C9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估</w:t>
            </w:r>
          </w:p>
          <w:p w14:paraId="3F565D3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算</w:t>
            </w:r>
          </w:p>
          <w:p w14:paraId="232F572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依</w:t>
            </w:r>
          </w:p>
          <w:p w14:paraId="2473DEB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据</w:t>
            </w:r>
          </w:p>
          <w:p w14:paraId="0E0A13D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809DF2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22ED08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5C11B5F5">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5、投资估算编制原则和依据</w:t>
            </w:r>
          </w:p>
          <w:p w14:paraId="134A51D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人工费、材料单价及定额、费用计算标准以项目实施当年为准，可作适当调整。</w:t>
            </w:r>
          </w:p>
          <w:p w14:paraId="0F0AE8E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人工单价由基本工资、辅助工资和工资附加费三部分组成。根据《云南省人民政</w:t>
            </w:r>
            <w:bookmarkStart w:id="0" w:name="_GoBack"/>
            <w:bookmarkEnd w:id="0"/>
            <w:r>
              <w:rPr>
                <w:rFonts w:hint="default" w:ascii="Times New Roman" w:hAnsi="Times New Roman" w:cs="Times New Roman"/>
                <w:b w:val="0"/>
                <w:bCs w:val="0"/>
                <w:color w:val="auto"/>
                <w:highlight w:val="none"/>
                <w:lang w:val="zh-CN" w:eastAsia="zh-CN"/>
              </w:rPr>
              <w:t>府办公厅关于印发云南省降低社会保险费率实施方案的通知》(云政办发〔2019〕48 号)、《土地开发整理项目估</w:t>
            </w:r>
            <w:r>
              <w:rPr>
                <w:rFonts w:hint="eastAsia" w:cs="Times New Roman"/>
                <w:b w:val="0"/>
                <w:bCs w:val="0"/>
                <w:color w:val="auto"/>
                <w:highlight w:val="none"/>
                <w:lang w:val="zh-CN" w:eastAsia="zh-CN"/>
              </w:rPr>
              <w:t>预算</w:t>
            </w:r>
            <w:r>
              <w:rPr>
                <w:rFonts w:hint="default" w:ascii="Times New Roman" w:hAnsi="Times New Roman" w:cs="Times New Roman"/>
                <w:b w:val="0"/>
                <w:bCs w:val="0"/>
                <w:color w:val="auto"/>
                <w:highlight w:val="none"/>
                <w:lang w:val="zh-CN" w:eastAsia="zh-CN"/>
              </w:rPr>
              <w:t>定额标准》人工估算标准，本项目所在地区属于六类</w:t>
            </w:r>
          </w:p>
          <w:p w14:paraId="6FBAD08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工资区，因此甲类工和乙类工的单价按50.7元/工日和38.56元/工日计算。</w:t>
            </w:r>
          </w:p>
          <w:p w14:paraId="4655348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根据《土地开发整理项目预算定额标准</w:t>
            </w:r>
            <w:r>
              <w:rPr>
                <w:rFonts w:hint="eastAsia" w:cs="Times New Roman"/>
                <w:b w:val="0"/>
                <w:bCs w:val="0"/>
                <w:color w:val="auto"/>
                <w:highlight w:val="none"/>
                <w:lang w:val="zh-CN" w:eastAsia="zh-CN"/>
              </w:rPr>
              <w:t>云南省补充预算定额</w:t>
            </w:r>
            <w:r>
              <w:rPr>
                <w:rFonts w:hint="default" w:ascii="Times New Roman" w:hAnsi="Times New Roman" w:cs="Times New Roman"/>
                <w:b w:val="0"/>
                <w:bCs w:val="0"/>
                <w:color w:val="auto"/>
                <w:highlight w:val="none"/>
                <w:lang w:val="zh-CN" w:eastAsia="zh-CN"/>
              </w:rPr>
              <w:t>》</w:t>
            </w:r>
            <w:r>
              <w:rPr>
                <w:rFonts w:hint="eastAsia" w:cs="Times New Roman"/>
                <w:b w:val="0"/>
                <w:bCs w:val="0"/>
                <w:color w:val="auto"/>
                <w:highlight w:val="none"/>
                <w:lang w:val="zh-CN" w:eastAsia="zh-CN"/>
              </w:rPr>
              <w:t>（云国土资〔</w:t>
            </w:r>
            <w:r>
              <w:rPr>
                <w:rFonts w:hint="default" w:ascii="Times New Roman" w:hAnsi="Times New Roman" w:cs="Times New Roman"/>
                <w:b w:val="0"/>
                <w:bCs w:val="0"/>
                <w:color w:val="auto"/>
                <w:highlight w:val="none"/>
                <w:lang w:val="zh-CN" w:eastAsia="zh-CN"/>
              </w:rPr>
              <w:t>201</w:t>
            </w:r>
            <w:r>
              <w:rPr>
                <w:rFonts w:hint="eastAsia" w:cs="Times New Roman"/>
                <w:b w:val="0"/>
                <w:bCs w:val="0"/>
                <w:color w:val="auto"/>
                <w:highlight w:val="none"/>
                <w:lang w:val="en-US" w:eastAsia="zh-CN"/>
              </w:rPr>
              <w:t>6</w:t>
            </w:r>
            <w:r>
              <w:rPr>
                <w:rFonts w:hint="eastAsia" w:cs="Times New Roman"/>
                <w:b w:val="0"/>
                <w:bCs w:val="0"/>
                <w:color w:val="auto"/>
                <w:highlight w:val="none"/>
                <w:lang w:val="zh-CN" w:eastAsia="zh-CN"/>
              </w:rPr>
              <w:t>〕</w:t>
            </w:r>
            <w:r>
              <w:rPr>
                <w:rFonts w:hint="default" w:ascii="Times New Roman" w:hAnsi="Times New Roman" w:cs="Times New Roman"/>
                <w:b w:val="0"/>
                <w:bCs w:val="0"/>
                <w:color w:val="auto"/>
                <w:highlight w:val="none"/>
                <w:lang w:val="zh-CN" w:eastAsia="zh-CN"/>
              </w:rPr>
              <w:t xml:space="preserve"> </w:t>
            </w:r>
            <w:r>
              <w:rPr>
                <w:rFonts w:hint="eastAsia" w:cs="Times New Roman"/>
                <w:b w:val="0"/>
                <w:bCs w:val="0"/>
                <w:color w:val="auto"/>
                <w:highlight w:val="none"/>
                <w:lang w:val="en-US" w:eastAsia="zh-CN"/>
              </w:rPr>
              <w:t>35</w:t>
            </w:r>
            <w:r>
              <w:rPr>
                <w:rFonts w:hint="eastAsia" w:cs="Times New Roman"/>
                <w:b w:val="0"/>
                <w:bCs w:val="0"/>
                <w:color w:val="auto"/>
                <w:highlight w:val="none"/>
                <w:lang w:val="zh-CN" w:eastAsia="zh-CN"/>
              </w:rPr>
              <w:t>）</w:t>
            </w:r>
            <w:r>
              <w:rPr>
                <w:rFonts w:hint="eastAsia" w:cs="Times New Roman"/>
                <w:b w:val="0"/>
                <w:bCs w:val="0"/>
                <w:color w:val="auto"/>
                <w:highlight w:val="none"/>
                <w:lang w:val="en-US" w:eastAsia="zh-CN"/>
              </w:rPr>
              <w:t>号</w:t>
            </w:r>
            <w:r>
              <w:rPr>
                <w:rFonts w:hint="default" w:ascii="Times New Roman" w:hAnsi="Times New Roman" w:cs="Times New Roman"/>
                <w:b w:val="0"/>
                <w:bCs w:val="0"/>
                <w:color w:val="auto"/>
                <w:highlight w:val="none"/>
                <w:lang w:val="zh-CN" w:eastAsia="zh-CN"/>
              </w:rPr>
              <w:t xml:space="preserve">及云南省建设工程《造 价信息》（2023 年 </w:t>
            </w:r>
            <w:r>
              <w:rPr>
                <w:rFonts w:hint="default" w:ascii="Times New Roman" w:hAnsi="Times New Roman" w:cs="Times New Roman"/>
                <w:b w:val="0"/>
                <w:bCs w:val="0"/>
                <w:color w:val="auto"/>
                <w:highlight w:val="none"/>
                <w:lang w:val="en-US" w:eastAsia="zh-CN"/>
              </w:rPr>
              <w:t>8</w:t>
            </w:r>
            <w:r>
              <w:rPr>
                <w:rFonts w:hint="default" w:ascii="Times New Roman" w:hAnsi="Times New Roman" w:cs="Times New Roman"/>
                <w:b w:val="0"/>
                <w:bCs w:val="0"/>
                <w:color w:val="auto"/>
                <w:highlight w:val="none"/>
                <w:lang w:val="zh-CN" w:eastAsia="zh-CN"/>
              </w:rPr>
              <w:t xml:space="preserve"> 月），结合本工程土地复垦措施和工程量，本方案复垦投资估算静态投资</w:t>
            </w:r>
            <w:r>
              <w:rPr>
                <w:rFonts w:hint="eastAsia" w:cs="Times New Roman"/>
                <w:b w:val="0"/>
                <w:bCs w:val="0"/>
                <w:color w:val="auto"/>
                <w:highlight w:val="none"/>
                <w:lang w:val="zh-CN" w:eastAsia="zh-CN"/>
              </w:rPr>
              <w:t>206.14</w:t>
            </w:r>
            <w:r>
              <w:rPr>
                <w:rFonts w:hint="eastAsia" w:cs="Times New Roman"/>
                <w:b w:val="0"/>
                <w:bCs w:val="0"/>
                <w:color w:val="auto"/>
                <w:highlight w:val="none"/>
                <w:lang w:val="en-US" w:eastAsia="zh-CN"/>
              </w:rPr>
              <w:t>万</w:t>
            </w:r>
            <w:r>
              <w:rPr>
                <w:rFonts w:hint="default" w:ascii="Times New Roman" w:hAnsi="Times New Roman" w:cs="Times New Roman"/>
                <w:b w:val="0"/>
                <w:bCs w:val="0"/>
                <w:color w:val="auto"/>
                <w:highlight w:val="none"/>
                <w:lang w:val="zh-CN" w:eastAsia="zh-CN"/>
              </w:rPr>
              <w:t>元，动态投资</w:t>
            </w:r>
            <w:r>
              <w:rPr>
                <w:rFonts w:hint="eastAsia" w:cs="Times New Roman"/>
                <w:b w:val="0"/>
                <w:bCs w:val="0"/>
                <w:color w:val="auto"/>
                <w:highlight w:val="none"/>
                <w:lang w:val="zh-CN" w:eastAsia="zh-CN"/>
              </w:rPr>
              <w:t>253.29万</w:t>
            </w:r>
            <w:r>
              <w:rPr>
                <w:rFonts w:hint="default" w:ascii="Times New Roman" w:hAnsi="Times New Roman" w:cs="Times New Roman"/>
                <w:b w:val="0"/>
                <w:bCs w:val="0"/>
                <w:color w:val="auto"/>
                <w:highlight w:val="none"/>
                <w:lang w:val="zh-CN" w:eastAsia="zh-CN"/>
              </w:rPr>
              <w:t>元；复垦面积</w:t>
            </w:r>
            <w:r>
              <w:rPr>
                <w:rFonts w:hint="eastAsia" w:cs="Times New Roman"/>
                <w:b w:val="0"/>
                <w:bCs w:val="0"/>
                <w:color w:val="auto"/>
                <w:highlight w:val="none"/>
                <w:lang w:val="en-US" w:eastAsia="zh-CN"/>
              </w:rPr>
              <w:t>6.3519</w:t>
            </w:r>
            <w:r>
              <w:rPr>
                <w:rFonts w:hint="default" w:ascii="Times New Roman" w:hAnsi="Times New Roman" w:cs="Times New Roman"/>
                <w:b w:val="0"/>
                <w:bCs w:val="0"/>
                <w:color w:val="auto"/>
                <w:highlight w:val="none"/>
                <w:lang w:val="zh-CN" w:eastAsia="zh-CN"/>
              </w:rPr>
              <w:t>m²，静态亩均投资</w:t>
            </w:r>
            <w:r>
              <w:rPr>
                <w:rFonts w:hint="eastAsia" w:cs="Times New Roman"/>
                <w:b w:val="0"/>
                <w:bCs w:val="0"/>
                <w:color w:val="auto"/>
                <w:highlight w:val="none"/>
                <w:lang w:val="zh-CN" w:eastAsia="zh-CN"/>
              </w:rPr>
              <w:t>21635.33</w:t>
            </w:r>
            <w:r>
              <w:rPr>
                <w:rFonts w:hint="default" w:ascii="Times New Roman" w:hAnsi="Times New Roman" w:cs="Times New Roman"/>
                <w:b w:val="0"/>
                <w:bCs w:val="0"/>
                <w:color w:val="auto"/>
                <w:highlight w:val="none"/>
                <w:lang w:val="zh-CN" w:eastAsia="zh-CN"/>
              </w:rPr>
              <w:t>元，动态亩均投资</w:t>
            </w:r>
            <w:r>
              <w:rPr>
                <w:rFonts w:hint="eastAsia" w:cs="Times New Roman"/>
                <w:b w:val="0"/>
                <w:bCs w:val="0"/>
                <w:color w:val="auto"/>
                <w:highlight w:val="none"/>
                <w:lang w:val="zh-CN" w:eastAsia="zh-CN"/>
              </w:rPr>
              <w:t>26584.68</w:t>
            </w:r>
            <w:r>
              <w:rPr>
                <w:rFonts w:hint="default" w:ascii="Times New Roman" w:hAnsi="Times New Roman" w:cs="Times New Roman"/>
                <w:b w:val="0"/>
                <w:bCs w:val="0"/>
                <w:color w:val="auto"/>
                <w:highlight w:val="none"/>
                <w:lang w:val="zh-CN" w:eastAsia="zh-CN"/>
              </w:rPr>
              <w:t>元</w:t>
            </w:r>
          </w:p>
          <w:p w14:paraId="7E737FA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按照“谁损毁、谁复垦”的原则，本项目属于中铁十八局集团有限公司渝昆高铁引入昆明枢纽工程项目经理部自筹资金项目，纳入本次投资估算范围的工程建设资金全部由中铁十八局集团有限公司渝昆高铁引入昆明枢纽工程项目经理部承担。</w:t>
            </w:r>
          </w:p>
        </w:tc>
      </w:tr>
      <w:tr w14:paraId="7C22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5DB328B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736925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802788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14A868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2F6402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估</w:t>
            </w:r>
          </w:p>
          <w:p w14:paraId="6433AAA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算</w:t>
            </w:r>
          </w:p>
          <w:p w14:paraId="2D7D271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成</w:t>
            </w:r>
          </w:p>
          <w:p w14:paraId="004881C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果</w:t>
            </w:r>
          </w:p>
          <w:p w14:paraId="194D59D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FCF149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EE2B71B">
            <w:pPr>
              <w:pStyle w:val="2"/>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1FF46D7C">
            <w:pPr>
              <w:spacing w:line="360" w:lineRule="auto"/>
              <w:ind w:left="0" w:leftChars="0" w:firstLine="0" w:firstLineChars="0"/>
              <w:jc w:val="center"/>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土地复垦投资预算总表</w:t>
            </w:r>
          </w:p>
          <w:tbl>
            <w:tblPr>
              <w:tblStyle w:val="5"/>
              <w:tblW w:w="6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1842"/>
              <w:gridCol w:w="1522"/>
              <w:gridCol w:w="2425"/>
            </w:tblGrid>
            <w:tr w14:paraId="66AA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3118">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D3F">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工程或费用名称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AA3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费用（万元）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0ED">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占总投资的比列（%）</w:t>
                  </w:r>
                </w:p>
              </w:tc>
            </w:tr>
            <w:tr w14:paraId="4D60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3EC2">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2328">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工程施工费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46D">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130.15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25F6">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51.38 </w:t>
                  </w:r>
                </w:p>
              </w:tc>
            </w:tr>
            <w:tr w14:paraId="0198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7C3A">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66D">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设备费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13D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421">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r>
            <w:tr w14:paraId="0091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888">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9EA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其他费用</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3A0">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41.54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F3F9">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16.40 </w:t>
                  </w:r>
                </w:p>
              </w:tc>
            </w:tr>
            <w:tr w14:paraId="3695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2B3">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四</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494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监测与管护费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7AB">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24.15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82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9.53 </w:t>
                  </w:r>
                </w:p>
              </w:tc>
            </w:tr>
            <w:tr w14:paraId="3C0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8696">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0F3">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复垦监测费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A772">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4.03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5BB5">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1.59 </w:t>
                  </w:r>
                </w:p>
              </w:tc>
            </w:tr>
            <w:tr w14:paraId="337D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027">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0C79">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管护费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0ABA7">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20.12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7AD1">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7.94 </w:t>
                  </w:r>
                </w:p>
              </w:tc>
            </w:tr>
            <w:tr w14:paraId="516C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9C56">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五</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8B8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F61D">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57.46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8B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22.68 </w:t>
                  </w:r>
                </w:p>
              </w:tc>
            </w:tr>
            <w:tr w14:paraId="0B20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B75">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0D3A">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基本预备费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054E">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10.30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E308">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4.07 </w:t>
                  </w:r>
                </w:p>
              </w:tc>
            </w:tr>
            <w:tr w14:paraId="3C39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CA4">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17F6">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价差预备费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6684">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47.16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A478">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18.62 </w:t>
                  </w:r>
                </w:p>
              </w:tc>
            </w:tr>
            <w:tr w14:paraId="6E99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70F">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B91">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风险金</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9639">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67F9">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r>
            <w:tr w14:paraId="763B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CFD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六</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3BDD">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静态总投资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C7EC">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206.14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3073">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81.38 </w:t>
                  </w:r>
                </w:p>
              </w:tc>
            </w:tr>
            <w:tr w14:paraId="29CF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5F3">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9831">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动态总投资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4460">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253.29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89EC">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100.00 </w:t>
                  </w:r>
                </w:p>
              </w:tc>
            </w:tr>
          </w:tbl>
          <w:p w14:paraId="2F502AB6">
            <w:pPr>
              <w:ind w:firstLine="0" w:firstLineChars="0"/>
              <w:jc w:val="center"/>
              <w:rPr>
                <w:color w:val="auto"/>
                <w:highlight w:val="none"/>
                <w:vertAlign w:val="baseline"/>
              </w:rPr>
            </w:pPr>
          </w:p>
        </w:tc>
      </w:tr>
    </w:tbl>
    <w:p w14:paraId="2CF9AEC3">
      <w:pPr>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br w:type="page"/>
      </w:r>
    </w:p>
    <w:p w14:paraId="312C2C45">
      <w:pPr>
        <w:pStyle w:val="9"/>
        <w:jc w:val="center"/>
        <w:rPr>
          <w:rFonts w:hint="eastAsia" w:ascii="Times New Roman" w:hAnsi="Times New Roman" w:eastAsia="黑体" w:cs="Times New Roman"/>
          <w:b w:val="0"/>
          <w:color w:val="auto"/>
          <w:sz w:val="32"/>
          <w:szCs w:val="32"/>
          <w:highlight w:val="none"/>
          <w:lang w:val="zh-CN" w:eastAsia="zh-CN"/>
        </w:rPr>
      </w:pPr>
      <w:r>
        <w:rPr>
          <w:rFonts w:hint="eastAsia" w:ascii="Times New Roman" w:hAnsi="Times New Roman" w:eastAsia="黑体" w:cs="Times New Roman"/>
          <w:b w:val="0"/>
          <w:color w:val="auto"/>
          <w:sz w:val="32"/>
          <w:szCs w:val="32"/>
          <w:highlight w:val="none"/>
          <w:lang w:val="zh-CN" w:eastAsia="zh-CN"/>
        </w:rPr>
        <w:t>第三部分</w:t>
      </w:r>
      <w:r>
        <w:rPr>
          <w:rFonts w:hint="eastAsia" w:ascii="Times New Roman" w:hAnsi="Times New Roman" w:eastAsia="黑体" w:cs="Times New Roman"/>
          <w:b w:val="0"/>
          <w:color w:val="auto"/>
          <w:sz w:val="32"/>
          <w:szCs w:val="32"/>
          <w:highlight w:val="none"/>
          <w:lang w:val="en-US" w:eastAsia="zh-CN"/>
        </w:rPr>
        <w:t xml:space="preserve"> </w:t>
      </w:r>
      <w:r>
        <w:rPr>
          <w:rFonts w:hint="eastAsia" w:ascii="Times New Roman" w:hAnsi="Times New Roman" w:eastAsia="黑体" w:cs="Times New Roman"/>
          <w:b w:val="0"/>
          <w:color w:val="auto"/>
          <w:sz w:val="32"/>
          <w:szCs w:val="32"/>
          <w:highlight w:val="none"/>
          <w:lang w:val="zh-CN" w:eastAsia="zh-CN"/>
        </w:rPr>
        <w:t>复垦方案摘要</w:t>
      </w:r>
    </w:p>
    <w:p w14:paraId="36992A4C">
      <w:pPr>
        <w:pStyle w:val="8"/>
        <w:numPr>
          <w:ilvl w:val="0"/>
          <w:numId w:val="0"/>
        </w:numPr>
        <w:jc w:val="left"/>
        <w:rPr>
          <w:rFonts w:hint="eastAsia" w:ascii="Times New Roman" w:hAnsi="Times New Roman" w:cs="Times New Roman"/>
          <w:color w:val="auto"/>
          <w:sz w:val="28"/>
          <w:szCs w:val="28"/>
          <w:highlight w:val="none"/>
          <w:lang w:eastAsia="zh-CN"/>
        </w:rPr>
      </w:pPr>
      <w:r>
        <w:rPr>
          <w:rFonts w:hint="eastAsia" w:cs="Times New Roman"/>
          <w:color w:val="auto"/>
          <w:sz w:val="28"/>
          <w:szCs w:val="28"/>
          <w:highlight w:val="none"/>
          <w:lang w:eastAsia="zh-CN"/>
        </w:rPr>
        <w:t>一、</w:t>
      </w:r>
      <w:r>
        <w:rPr>
          <w:rFonts w:hint="eastAsia" w:ascii="Times New Roman" w:hAnsi="Times New Roman" w:cs="Times New Roman"/>
          <w:color w:val="auto"/>
          <w:sz w:val="28"/>
          <w:szCs w:val="28"/>
          <w:highlight w:val="none"/>
          <w:lang w:eastAsia="zh-CN"/>
        </w:rPr>
        <w:t>方案服务年限</w:t>
      </w:r>
    </w:p>
    <w:p w14:paraId="5F3C0B7F">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本项目建设年限为4年（202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年6月），</w:t>
      </w:r>
      <w:r>
        <w:rPr>
          <w:rFonts w:hint="eastAsia" w:cs="Times New Roman"/>
          <w:color w:val="auto"/>
          <w:highlight w:val="none"/>
          <w:lang w:eastAsia="zh-CN"/>
        </w:rPr>
        <w:t>剩余建设年限为</w:t>
      </w:r>
      <w:r>
        <w:rPr>
          <w:rFonts w:hint="eastAsia" w:cs="Times New Roman"/>
          <w:color w:val="auto"/>
          <w:highlight w:val="none"/>
          <w:lang w:val="en-US" w:eastAsia="zh-CN"/>
        </w:rPr>
        <w:t>3年。</w:t>
      </w:r>
      <w:r>
        <w:rPr>
          <w:rFonts w:hint="default" w:ascii="Times New Roman" w:hAnsi="Times New Roman" w:cs="Times New Roman"/>
          <w:color w:val="auto"/>
          <w:spacing w:val="4"/>
          <w:highlight w:val="none"/>
          <w:lang w:val="zh-CN"/>
        </w:rPr>
        <w:t>根据本项</w:t>
      </w:r>
      <w:r>
        <w:rPr>
          <w:rFonts w:hint="default" w:ascii="Times New Roman" w:hAnsi="Times New Roman" w:cs="Times New Roman"/>
          <w:color w:val="auto"/>
          <w:highlight w:val="none"/>
          <w:lang w:val="zh-CN"/>
        </w:rPr>
        <w:t>目的特点</w:t>
      </w:r>
      <w:r>
        <w:rPr>
          <w:rFonts w:hint="default" w:ascii="Times New Roman" w:hAnsi="Times New Roman" w:cs="Times New Roman"/>
          <w:color w:val="auto"/>
          <w:highlight w:val="none"/>
        </w:rPr>
        <w:t>，本方案设计服务年限由</w:t>
      </w:r>
      <w:r>
        <w:rPr>
          <w:rFonts w:hint="default" w:ascii="Times New Roman" w:hAnsi="Times New Roman" w:cs="Times New Roman"/>
          <w:color w:val="auto"/>
          <w:highlight w:val="none"/>
          <w:lang w:val="en-US" w:eastAsia="zh-CN"/>
        </w:rPr>
        <w:t>剩余</w:t>
      </w:r>
      <w:r>
        <w:rPr>
          <w:rFonts w:hint="default" w:ascii="Times New Roman" w:hAnsi="Times New Roman" w:cs="Times New Roman"/>
          <w:color w:val="auto"/>
          <w:highlight w:val="none"/>
        </w:rPr>
        <w:t>建设年限</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复垦期</w:t>
      </w:r>
      <w:r>
        <w:rPr>
          <w:rFonts w:hint="eastAsia" w:ascii="Times New Roman" w:hAnsi="Times New Roman" w:cs="Times New Roman"/>
          <w:color w:val="auto"/>
          <w:highlight w:val="none"/>
          <w:lang w:val="en-US" w:eastAsia="zh-CN"/>
        </w:rPr>
        <w:t>0.5年、监测与管护期取3年</w:t>
      </w:r>
      <w:r>
        <w:rPr>
          <w:rFonts w:hint="default" w:ascii="Times New Roman" w:hAnsi="Times New Roman" w:cs="Times New Roman"/>
          <w:color w:val="auto"/>
          <w:highlight w:val="none"/>
        </w:rPr>
        <w:t>，共计</w:t>
      </w:r>
      <w:r>
        <w:rPr>
          <w:rFonts w:hint="default" w:ascii="Times New Roman" w:hAnsi="Times New Roman" w:cs="Times New Roman"/>
          <w:color w:val="auto"/>
          <w:highlight w:val="none"/>
          <w:lang w:val="en-US" w:eastAsia="zh-CN"/>
        </w:rPr>
        <w:t>6.5</w:t>
      </w:r>
      <w:r>
        <w:rPr>
          <w:rFonts w:hint="default" w:ascii="Times New Roman" w:hAnsi="Times New Roman" w:cs="Times New Roman"/>
          <w:color w:val="auto"/>
          <w:highlight w:val="none"/>
        </w:rPr>
        <w:t>年，因此本方案的服务年限为（2023年6月-20</w:t>
      </w:r>
      <w:r>
        <w:rPr>
          <w:rFonts w:hint="default" w:ascii="Times New Roman" w:hAnsi="Times New Roman" w:cs="Times New Roman"/>
          <w:color w:val="auto"/>
          <w:highlight w:val="none"/>
          <w:lang w:val="en-US" w:eastAsia="zh-CN"/>
        </w:rPr>
        <w:t>29</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在土地复垦方案服务年限内，若项目规划及建设发生变化，应对土地复垦方案进行及时修订，应保证复垦义务、责任和资金的相应变更与接续</w:t>
      </w:r>
      <w:r>
        <w:rPr>
          <w:rFonts w:hint="eastAsia" w:cs="Times New Roman"/>
          <w:color w:val="auto"/>
          <w:highlight w:val="none"/>
          <w:lang w:eastAsia="zh-CN"/>
        </w:rPr>
        <w:t>；</w:t>
      </w:r>
      <w:r>
        <w:rPr>
          <w:rFonts w:hint="default" w:ascii="Times New Roman" w:hAnsi="Times New Roman" w:cs="Times New Roman"/>
          <w:color w:val="auto"/>
          <w:kern w:val="2"/>
          <w:sz w:val="24"/>
          <w:szCs w:val="22"/>
          <w:highlight w:val="none"/>
          <w:lang w:val="en-US" w:eastAsia="zh-CN" w:bidi="ar-SA"/>
        </w:rPr>
        <w:t>后续针对其他</w:t>
      </w:r>
      <w:r>
        <w:rPr>
          <w:rFonts w:hint="eastAsia" w:cs="Times New Roman"/>
          <w:color w:val="auto"/>
          <w:kern w:val="2"/>
          <w:sz w:val="24"/>
          <w:szCs w:val="22"/>
          <w:highlight w:val="none"/>
          <w:lang w:val="en-US" w:eastAsia="zh-CN" w:bidi="ar-SA"/>
        </w:rPr>
        <w:t>批次</w:t>
      </w:r>
      <w:r>
        <w:rPr>
          <w:rFonts w:hint="default" w:ascii="Times New Roman" w:hAnsi="Times New Roman" w:cs="Times New Roman"/>
          <w:color w:val="auto"/>
          <w:kern w:val="2"/>
          <w:sz w:val="24"/>
          <w:szCs w:val="22"/>
          <w:highlight w:val="none"/>
          <w:lang w:val="en-US" w:eastAsia="zh-CN" w:bidi="ar-SA"/>
        </w:rPr>
        <w:t>临时用地进行分批</w:t>
      </w:r>
      <w:r>
        <w:rPr>
          <w:rFonts w:hint="eastAsia" w:cs="Times New Roman"/>
          <w:color w:val="auto"/>
          <w:kern w:val="2"/>
          <w:sz w:val="24"/>
          <w:szCs w:val="22"/>
          <w:highlight w:val="none"/>
          <w:lang w:val="en-US" w:eastAsia="zh-CN" w:bidi="ar-SA"/>
        </w:rPr>
        <w:t>编制土地复垦方案，并按照各批次临时用地进行</w:t>
      </w:r>
      <w:r>
        <w:rPr>
          <w:rFonts w:hint="default" w:ascii="Times New Roman" w:hAnsi="Times New Roman" w:cs="Times New Roman"/>
          <w:color w:val="auto"/>
          <w:kern w:val="2"/>
          <w:sz w:val="24"/>
          <w:szCs w:val="22"/>
          <w:highlight w:val="none"/>
          <w:lang w:val="en-US" w:eastAsia="zh-CN" w:bidi="ar-SA"/>
        </w:rPr>
        <w:t>报批</w:t>
      </w:r>
      <w:r>
        <w:rPr>
          <w:rFonts w:hint="default" w:ascii="Times New Roman" w:hAnsi="Times New Roman" w:cs="Times New Roman"/>
          <w:color w:val="auto"/>
          <w:highlight w:val="none"/>
        </w:rPr>
        <w:t>。</w:t>
      </w:r>
    </w:p>
    <w:p w14:paraId="50B80F60">
      <w:pPr>
        <w:pStyle w:val="8"/>
        <w:numPr>
          <w:ilvl w:val="0"/>
          <w:numId w:val="0"/>
        </w:numPr>
        <w:jc w:val="left"/>
        <w:rPr>
          <w:rFonts w:hint="eastAsia" w:cs="Times New Roman"/>
          <w:color w:val="auto"/>
          <w:sz w:val="28"/>
          <w:szCs w:val="28"/>
          <w:highlight w:val="none"/>
          <w:lang w:eastAsia="zh-CN"/>
        </w:rPr>
      </w:pPr>
      <w:r>
        <w:rPr>
          <w:rFonts w:hint="eastAsia" w:cs="Times New Roman"/>
          <w:color w:val="auto"/>
          <w:sz w:val="28"/>
          <w:szCs w:val="28"/>
          <w:highlight w:val="none"/>
          <w:lang w:eastAsia="zh-CN"/>
        </w:rPr>
        <w:t>二、方案涉及各类土地面积</w:t>
      </w:r>
    </w:p>
    <w:p w14:paraId="6F84B6BC">
      <w:pPr>
        <w:ind w:firstLine="480"/>
        <w:rPr>
          <w:rFonts w:hint="eastAsia" w:ascii="Times New Roman" w:hAnsi="Times New Roman" w:eastAsia="黑体" w:cs="Times New Roman"/>
          <w:color w:val="auto"/>
          <w:kern w:val="2"/>
          <w:sz w:val="28"/>
          <w:szCs w:val="28"/>
          <w:highlight w:val="none"/>
          <w:lang w:val="en-US" w:eastAsia="zh-CN" w:bidi="ar-SA"/>
        </w:rPr>
      </w:pPr>
      <w:r>
        <w:rPr>
          <w:rFonts w:hint="default" w:ascii="Times New Roman" w:hAnsi="Times New Roman" w:cs="Times New Roman"/>
          <w:color w:val="auto"/>
          <w:highlight w:val="none"/>
        </w:rPr>
        <w:t>新建渝昆高铁工程昆明空港段中铁十八局附属配套设施第二批临时用地项目区面积</w:t>
      </w:r>
      <w:r>
        <w:rPr>
          <w:rFonts w:hint="default" w:ascii="Times New Roman" w:hAnsi="Times New Roman" w:cs="Times New Roman"/>
          <w:color w:val="auto"/>
          <w:highlight w:val="none"/>
          <w:lang w:bidi="en-US"/>
        </w:rPr>
        <w:t>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hm²，复垦区面积为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hm²，复垦责任范围面积为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eastAsia="zh-CN" w:bidi="en-US"/>
        </w:rPr>
        <w:t>，其中</w:t>
      </w:r>
      <w:r>
        <w:rPr>
          <w:rFonts w:hint="default" w:ascii="Times New Roman" w:hAnsi="Times New Roman" w:cs="Times New Roman"/>
          <w:color w:val="auto"/>
          <w:highlight w:val="none"/>
          <w:lang w:val="en-US" w:eastAsia="zh-CN" w:bidi="en-US"/>
        </w:rPr>
        <w:t>损毁</w:t>
      </w:r>
      <w:r>
        <w:rPr>
          <w:rFonts w:hint="default" w:ascii="Times New Roman" w:hAnsi="Times New Roman" w:cs="Times New Roman"/>
          <w:color w:val="auto"/>
          <w:highlight w:val="none"/>
          <w:lang w:eastAsia="zh-CN"/>
        </w:rPr>
        <w:t>耕地面积</w:t>
      </w:r>
      <w:r>
        <w:rPr>
          <w:rFonts w:hint="default" w:ascii="Times New Roman" w:hAnsi="Times New Roman" w:cs="Times New Roman"/>
          <w:color w:val="auto"/>
          <w:highlight w:val="none"/>
          <w:lang w:val="en-US" w:eastAsia="zh-CN"/>
        </w:rPr>
        <w:t>4.6036</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eastAsia="zh-CN"/>
        </w:rPr>
        <w:t>、林地</w:t>
      </w:r>
      <w:r>
        <w:rPr>
          <w:rFonts w:hint="default" w:ascii="Times New Roman" w:hAnsi="Times New Roman" w:cs="Times New Roman"/>
          <w:color w:val="auto"/>
          <w:highlight w:val="none"/>
          <w:lang w:val="en-US" w:eastAsia="zh-CN"/>
        </w:rPr>
        <w:t>1.2635</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、草地0.0440</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、交通运输用地0.0361</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、其他土地0.4408</w:t>
      </w:r>
      <w:r>
        <w:rPr>
          <w:rFonts w:hint="default" w:ascii="Times New Roman" w:hAnsi="Times New Roman" w:cs="Times New Roman"/>
          <w:color w:val="auto"/>
          <w:highlight w:val="none"/>
          <w:lang w:bidi="en-US"/>
        </w:rPr>
        <w:t>hm²</w:t>
      </w:r>
      <w:r>
        <w:rPr>
          <w:rFonts w:hint="default" w:ascii="Times New Roman" w:hAnsi="Times New Roman" w:cs="Times New Roman"/>
          <w:color w:val="auto"/>
          <w:spacing w:val="4"/>
          <w:highlight w:val="none"/>
          <w:lang w:val="zh-CN"/>
        </w:rPr>
        <w:t>。</w:t>
      </w:r>
    </w:p>
    <w:p w14:paraId="3E17BED7">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三、土地损毁情况</w:t>
      </w:r>
    </w:p>
    <w:p w14:paraId="7316B7ED">
      <w:pPr>
        <w:ind w:firstLine="48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新建渝昆高铁工程昆明空港段中铁十八局附属配套设施第二批临时用地损毁土地总面积为</w:t>
      </w:r>
      <w:r>
        <w:rPr>
          <w:rFonts w:hint="default" w:ascii="Times New Roman" w:hAnsi="Times New Roman" w:cs="Times New Roman"/>
          <w:color w:val="auto"/>
          <w:highlight w:val="none"/>
          <w:lang w:val="en-US" w:eastAsia="zh-CN"/>
        </w:rPr>
        <w:t>6.3880</w:t>
      </w:r>
      <w:r>
        <w:rPr>
          <w:rFonts w:hint="default" w:ascii="Times New Roman" w:hAnsi="Times New Roman" w:cs="Times New Roman"/>
          <w:color w:val="auto"/>
          <w:highlight w:val="none"/>
        </w:rPr>
        <w:t>hm²，全部为已损毁土地。</w:t>
      </w:r>
    </w:p>
    <w:p w14:paraId="5769AC1D">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四、土地复垦目标</w:t>
      </w:r>
    </w:p>
    <w:p w14:paraId="69226585">
      <w:pPr>
        <w:ind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eastAsia="zh-CN"/>
        </w:rPr>
        <w:t>根据土地复垦</w:t>
      </w:r>
      <w:r>
        <w:rPr>
          <w:rFonts w:hint="default" w:ascii="Times New Roman" w:hAnsi="Times New Roman" w:cs="Times New Roman"/>
          <w:color w:val="auto"/>
          <w:highlight w:val="none"/>
          <w:lang w:val="en-US" w:eastAsia="zh-CN"/>
        </w:rPr>
        <w:t>适宜</w:t>
      </w:r>
      <w:r>
        <w:rPr>
          <w:rFonts w:hint="default" w:ascii="Times New Roman" w:hAnsi="Times New Roman" w:cs="Times New Roman"/>
          <w:color w:val="auto"/>
          <w:highlight w:val="none"/>
          <w:lang w:val="zh-CN" w:eastAsia="zh-CN"/>
        </w:rPr>
        <w:t>性评价结果，确定土地复垦的目标任务。本项目的复垦责任范围为</w:t>
      </w:r>
      <w:r>
        <w:rPr>
          <w:rFonts w:hint="default" w:ascii="Times New Roman" w:hAnsi="Times New Roman" w:cs="Times New Roman"/>
          <w:color w:val="auto"/>
          <w:highlight w:val="none"/>
          <w:lang w:val="en-US" w:eastAsia="zh-CN"/>
        </w:rPr>
        <w:t>6.3880</w:t>
      </w:r>
      <w:r>
        <w:rPr>
          <w:rFonts w:hint="default" w:ascii="Times New Roman" w:hAnsi="Times New Roman" w:cs="Times New Roman"/>
          <w:color w:val="auto"/>
          <w:highlight w:val="none"/>
          <w:lang w:val="zh-CN" w:eastAsia="zh-CN"/>
        </w:rPr>
        <w:t>hm</w:t>
      </w:r>
      <w:r>
        <w:rPr>
          <w:rFonts w:hint="default" w:ascii="Times New Roman" w:hAnsi="Times New Roman" w:cs="Times New Roman"/>
          <w:color w:val="auto"/>
          <w:highlight w:val="none"/>
          <w:vertAlign w:val="superscript"/>
          <w:lang w:val="zh-CN" w:eastAsia="zh-CN"/>
        </w:rPr>
        <w:t>2</w:t>
      </w:r>
      <w:r>
        <w:rPr>
          <w:rFonts w:hint="default" w:ascii="Times New Roman" w:hAnsi="Times New Roman" w:cs="Times New Roman"/>
          <w:color w:val="auto"/>
          <w:highlight w:val="none"/>
          <w:lang w:val="zh-CN" w:eastAsia="zh-CN"/>
        </w:rPr>
        <w:t>，拟</w:t>
      </w:r>
      <w:r>
        <w:rPr>
          <w:rFonts w:hint="default" w:ascii="Times New Roman" w:hAnsi="Times New Roman" w:cs="Times New Roman"/>
          <w:color w:val="auto"/>
          <w:highlight w:val="none"/>
          <w:lang w:val="en-US" w:eastAsia="zh-CN"/>
        </w:rPr>
        <w:t>规划复垦面积</w:t>
      </w:r>
      <w:r>
        <w:rPr>
          <w:rFonts w:hint="eastAsia" w:ascii="Times New Roman" w:hAnsi="Times New Roman" w:cs="Times New Roman"/>
          <w:color w:val="auto"/>
          <w:highlight w:val="none"/>
          <w:lang w:val="en-US" w:eastAsia="zh-CN"/>
        </w:rPr>
        <w:t>6.3519</w:t>
      </w:r>
      <w:r>
        <w:rPr>
          <w:rFonts w:hint="default" w:ascii="Times New Roman" w:hAnsi="Times New Roman" w:cs="Times New Roman"/>
          <w:color w:val="auto"/>
          <w:highlight w:val="none"/>
          <w:lang w:val="en-US" w:eastAsia="zh-CN"/>
        </w:rPr>
        <w:t>hm²</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其中</w:t>
      </w:r>
      <w:r>
        <w:rPr>
          <w:rFonts w:hint="eastAsia" w:ascii="Times New Roman" w:hAnsi="Times New Roman" w:cs="Times New Roman"/>
          <w:color w:val="auto"/>
          <w:highlight w:val="none"/>
          <w:lang w:val="en-US" w:eastAsia="zh-CN"/>
        </w:rPr>
        <w:t>取土场</w:t>
      </w:r>
      <w:r>
        <w:rPr>
          <w:rFonts w:hint="eastAsia" w:cs="Times New Roman"/>
          <w:color w:val="auto"/>
          <w:highlight w:val="none"/>
          <w:lang w:val="en-US" w:eastAsia="zh-CN"/>
        </w:rPr>
        <w:t>拟</w:t>
      </w:r>
      <w:r>
        <w:rPr>
          <w:rFonts w:hint="default" w:ascii="Times New Roman" w:hAnsi="Times New Roman" w:cs="Times New Roman"/>
          <w:color w:val="auto"/>
          <w:highlight w:val="none"/>
          <w:lang w:val="en-US" w:eastAsia="zh-CN"/>
        </w:rPr>
        <w:t>复垦面积为</w:t>
      </w:r>
      <w:r>
        <w:rPr>
          <w:rFonts w:hint="eastAsia" w:cs="Times New Roman"/>
          <w:color w:val="auto"/>
          <w:highlight w:val="none"/>
          <w:lang w:val="en-US" w:eastAsia="zh-CN"/>
        </w:rPr>
        <w:t>2.5753</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w:t>
      </w:r>
      <w:r>
        <w:rPr>
          <w:rFonts w:hint="eastAsia" w:cs="Times New Roman"/>
          <w:color w:val="auto"/>
          <w:highlight w:val="none"/>
          <w:lang w:val="en-US" w:eastAsia="zh-CN"/>
        </w:rPr>
        <w:t>旱地</w:t>
      </w:r>
      <w:r>
        <w:rPr>
          <w:rFonts w:hint="default" w:ascii="Times New Roman" w:hAnsi="Times New Roman" w:cs="Times New Roman"/>
          <w:color w:val="auto"/>
          <w:highlight w:val="none"/>
          <w:lang w:val="en-US" w:eastAsia="zh-CN"/>
        </w:rPr>
        <w:t>面积为1.2064hm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、田坎0.063</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、乔木林地1.3055</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；农用地表土剥离堆放场</w:t>
      </w:r>
      <w:r>
        <w:rPr>
          <w:rFonts w:hint="eastAsia" w:cs="Times New Roman"/>
          <w:color w:val="auto"/>
          <w:highlight w:val="none"/>
          <w:lang w:val="en-US" w:eastAsia="zh-CN"/>
        </w:rPr>
        <w:t>拟</w:t>
      </w:r>
      <w:r>
        <w:rPr>
          <w:rFonts w:hint="default" w:ascii="Times New Roman" w:hAnsi="Times New Roman" w:cs="Times New Roman"/>
          <w:color w:val="auto"/>
          <w:highlight w:val="none"/>
          <w:lang w:val="en-US" w:eastAsia="zh-CN"/>
        </w:rPr>
        <w:t>复垦面积为</w:t>
      </w:r>
      <w:r>
        <w:rPr>
          <w:rFonts w:hint="eastAsia" w:ascii="Times New Roman" w:hAnsi="Times New Roman" w:cs="Times New Roman"/>
          <w:color w:val="auto"/>
          <w:highlight w:val="none"/>
          <w:lang w:val="en-US" w:eastAsia="zh-CN"/>
        </w:rPr>
        <w:t>3.2349</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其中旱地</w:t>
      </w:r>
      <w:r>
        <w:rPr>
          <w:rFonts w:hint="eastAsia" w:ascii="Times New Roman" w:hAnsi="Times New Roman" w:cs="Times New Roman"/>
          <w:color w:val="auto"/>
          <w:highlight w:val="none"/>
          <w:lang w:val="en-US" w:eastAsia="zh-CN"/>
        </w:rPr>
        <w:t>面积3.0461</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田坎0.1888</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生活用房拟复垦面积0.5417</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均为旱地，本项目</w:t>
      </w:r>
      <w:r>
        <w:rPr>
          <w:rFonts w:hint="default" w:ascii="Times New Roman" w:hAnsi="Times New Roman" w:cs="Times New Roman"/>
          <w:color w:val="auto"/>
          <w:highlight w:val="none"/>
          <w:lang w:val="en-US" w:eastAsia="zh-CN"/>
        </w:rPr>
        <w:t>土地复垦率为</w:t>
      </w:r>
      <w:r>
        <w:rPr>
          <w:rFonts w:hint="eastAsia" w:ascii="Times New Roman" w:hAnsi="Times New Roman" w:cs="Times New Roman"/>
          <w:color w:val="auto"/>
          <w:highlight w:val="none"/>
          <w:lang w:val="en-US" w:eastAsia="zh-CN"/>
        </w:rPr>
        <w:t>99.43</w:t>
      </w:r>
      <w:r>
        <w:rPr>
          <w:rFonts w:hint="default" w:ascii="Times New Roman" w:hAnsi="Times New Roman" w:cs="Times New Roman"/>
          <w:color w:val="auto"/>
          <w:highlight w:val="none"/>
          <w:lang w:val="en-US" w:eastAsia="zh-CN"/>
        </w:rPr>
        <w:t>％。</w:t>
      </w:r>
    </w:p>
    <w:p w14:paraId="35EDA85D">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五、土地复垦投资概况</w:t>
      </w:r>
    </w:p>
    <w:p w14:paraId="6D05EA1C">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本方案复垦投资估算静态投资</w:t>
      </w:r>
      <w:r>
        <w:rPr>
          <w:rFonts w:hint="eastAsia" w:cs="Times New Roman"/>
          <w:color w:val="auto"/>
          <w:highlight w:val="none"/>
          <w:lang w:eastAsia="zh-CN"/>
        </w:rPr>
        <w:t>206.14</w:t>
      </w:r>
      <w:r>
        <w:rPr>
          <w:rFonts w:hint="eastAsia" w:cs="Times New Roman"/>
          <w:color w:val="auto"/>
          <w:highlight w:val="none"/>
          <w:lang w:val="en-US" w:eastAsia="zh-CN"/>
        </w:rPr>
        <w:t>万</w:t>
      </w:r>
      <w:r>
        <w:rPr>
          <w:rFonts w:hint="default" w:ascii="Times New Roman" w:hAnsi="Times New Roman" w:cs="Times New Roman"/>
          <w:color w:val="auto"/>
          <w:highlight w:val="none"/>
        </w:rPr>
        <w:t>元，动态投资</w:t>
      </w:r>
      <w:r>
        <w:rPr>
          <w:rFonts w:hint="eastAsia" w:cs="Times New Roman"/>
          <w:color w:val="auto"/>
          <w:highlight w:val="none"/>
          <w:lang w:eastAsia="zh-CN"/>
        </w:rPr>
        <w:t>253.29万</w:t>
      </w:r>
      <w:r>
        <w:rPr>
          <w:rFonts w:hint="default" w:ascii="Times New Roman" w:hAnsi="Times New Roman" w:cs="Times New Roman"/>
          <w:color w:val="auto"/>
          <w:highlight w:val="none"/>
        </w:rPr>
        <w:t>元；复垦面积</w:t>
      </w:r>
      <w:r>
        <w:rPr>
          <w:rFonts w:hint="eastAsia" w:cs="Times New Roman"/>
          <w:color w:val="auto"/>
          <w:highlight w:val="none"/>
          <w:lang w:val="en-US" w:eastAsia="zh-CN"/>
        </w:rPr>
        <w:t>6.3519</w:t>
      </w:r>
      <w:r>
        <w:rPr>
          <w:rFonts w:hint="default" w:ascii="Times New Roman" w:hAnsi="Times New Roman" w:cs="Times New Roman"/>
          <w:color w:val="auto"/>
          <w:highlight w:val="none"/>
        </w:rPr>
        <w:t>m²，静态亩均投资</w:t>
      </w:r>
      <w:r>
        <w:rPr>
          <w:rFonts w:hint="eastAsia" w:cs="Times New Roman"/>
          <w:color w:val="auto"/>
          <w:highlight w:val="none"/>
          <w:lang w:eastAsia="zh-CN"/>
        </w:rPr>
        <w:t>21635.33</w:t>
      </w:r>
      <w:r>
        <w:rPr>
          <w:rFonts w:hint="default" w:ascii="Times New Roman" w:hAnsi="Times New Roman" w:cs="Times New Roman"/>
          <w:color w:val="auto"/>
          <w:highlight w:val="none"/>
        </w:rPr>
        <w:t>元，动态亩均投资</w:t>
      </w:r>
      <w:r>
        <w:rPr>
          <w:rFonts w:hint="eastAsia" w:cs="Times New Roman"/>
          <w:color w:val="auto"/>
          <w:highlight w:val="none"/>
          <w:lang w:eastAsia="zh-CN"/>
        </w:rPr>
        <w:t>26584.68</w:t>
      </w:r>
      <w:r>
        <w:rPr>
          <w:rFonts w:hint="default" w:ascii="Times New Roman" w:hAnsi="Times New Roman" w:cs="Times New Roman"/>
          <w:color w:val="auto"/>
          <w:highlight w:val="none"/>
        </w:rPr>
        <w:t>元。</w:t>
      </w:r>
    </w:p>
    <w:p w14:paraId="25C12419">
      <w:pPr>
        <w:ind w:firstLine="480"/>
        <w:rPr>
          <w:rFonts w:hint="eastAsia" w:ascii="Times New Roman" w:hAnsi="Times New Roman" w:cs="Times New Roman"/>
          <w:color w:val="auto"/>
          <w:highlight w:val="none"/>
          <w:lang w:val="zh-CN"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44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E3D6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E3D6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649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EEDB9"/>
    <w:multiLevelType w:val="singleLevel"/>
    <w:tmpl w:val="76CEED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OGRjNGI5OGIxMGY0NTNjN2RjMjc0NWFiZWE0YTAifQ=="/>
  </w:docVars>
  <w:rsids>
    <w:rsidRoot w:val="27345198"/>
    <w:rsid w:val="12BE3627"/>
    <w:rsid w:val="1DC17969"/>
    <w:rsid w:val="27345198"/>
    <w:rsid w:val="340F388A"/>
    <w:rsid w:val="3CB820EE"/>
    <w:rsid w:val="51DD22D7"/>
    <w:rsid w:val="55DB5B2F"/>
    <w:rsid w:val="586622AC"/>
    <w:rsid w:val="5F621493"/>
    <w:rsid w:val="641D31CC"/>
    <w:rsid w:val="65E12CEE"/>
    <w:rsid w:val="67E2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FangSong_GB2312" w:cs="Times New Roman"/>
      <w:kern w:val="2"/>
      <w:sz w:val="24"/>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kern w:val="0"/>
      <w:sz w:val="20"/>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3（新）"/>
    <w:basedOn w:val="1"/>
    <w:qFormat/>
    <w:uiPriority w:val="0"/>
    <w:pPr>
      <w:ind w:firstLine="0" w:firstLineChars="0"/>
      <w:outlineLvl w:val="2"/>
    </w:pPr>
    <w:rPr>
      <w:rFonts w:eastAsia="黑体"/>
    </w:rPr>
  </w:style>
  <w:style w:type="paragraph" w:customStyle="1" w:styleId="9">
    <w:name w:val="标题1"/>
    <w:basedOn w:val="10"/>
    <w:next w:val="10"/>
    <w:qFormat/>
    <w:uiPriority w:val="0"/>
    <w:pPr>
      <w:spacing w:line="480" w:lineRule="auto"/>
      <w:ind w:firstLine="0" w:firstLineChars="0"/>
      <w:outlineLvl w:val="0"/>
    </w:pPr>
    <w:rPr>
      <w:rFonts w:eastAsia="宋体"/>
      <w:b/>
      <w:sz w:val="44"/>
    </w:rPr>
  </w:style>
  <w:style w:type="paragraph" w:customStyle="1" w:styleId="10">
    <w:name w:val="5正文"/>
    <w:basedOn w:val="1"/>
    <w:qFormat/>
    <w:uiPriority w:val="0"/>
    <w:rPr>
      <w:rFonts w:ascii="Calibri" w:hAnsi="Calibri"/>
      <w:bCs/>
      <w:snapToGrid w:val="0"/>
      <w:kern w:val="0"/>
      <w:szCs w:val="24"/>
    </w:rPr>
  </w:style>
  <w:style w:type="character" w:customStyle="1" w:styleId="11">
    <w:name w:val="5正文 Char Char Char"/>
    <w:qFormat/>
    <w:uiPriority w:val="0"/>
    <w:rPr>
      <w:rFonts w:eastAsia="FangSong_GB2312"/>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7196</Words>
  <Characters>8330</Characters>
  <Lines>0</Lines>
  <Paragraphs>0</Paragraphs>
  <TotalTime>0</TotalTime>
  <ScaleCrop>false</ScaleCrop>
  <LinksUpToDate>false</LinksUpToDate>
  <CharactersWithSpaces>8482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2023-12-12T03:52:00Z</dcterms:created>
  <dc:creator>Administrator</dc:creator>
  <cp:lastModifiedBy>健康的死胖子周</cp:lastModifiedBy>
  <dcterms:modified xsi:type="dcterms:W3CDTF">2026-02-06T07:14:40Z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B84850F0281641A2B6A0903E64565FE0_11</vt:lpwstr>
  </property>
  <property fmtid="{D5CDD505-2E9C-101B-9397-08002B2CF9AE}" pid="4" name="KSOTemplateDocerSaveRecord">
    <vt:lpwstr>eyJoZGlkIjoiOTI3NWI3OWJhYjBkYTRlMjdhMzQ2NDRlNTBlYWFlNTAiLCJ1c2VySWQiOiIyNzI0MzE0NDgifQ==</vt:lpwstr>
  </property>
</Properties>
</file>